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876"/>
        <w:tblW w:w="14126" w:type="dxa"/>
        <w:tblLayout w:type="fixed"/>
        <w:tblLook w:val="04A0" w:firstRow="1" w:lastRow="0" w:firstColumn="1" w:lastColumn="0" w:noHBand="0" w:noVBand="1"/>
      </w:tblPr>
      <w:tblGrid>
        <w:gridCol w:w="608"/>
        <w:gridCol w:w="1344"/>
        <w:gridCol w:w="7398"/>
        <w:gridCol w:w="772"/>
        <w:gridCol w:w="660"/>
        <w:gridCol w:w="679"/>
        <w:gridCol w:w="812"/>
        <w:gridCol w:w="931"/>
        <w:gridCol w:w="922"/>
      </w:tblGrid>
      <w:tr w:rsidR="00485768" w:rsidTr="00A61F7E">
        <w:trPr>
          <w:trHeight w:val="983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产品名称</w:t>
            </w:r>
          </w:p>
        </w:tc>
        <w:tc>
          <w:tcPr>
            <w:tcW w:w="7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产品设备参数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单价</w:t>
            </w:r>
          </w:p>
          <w:p w:rsidR="00485768" w:rsidRDefault="00723A33" w:rsidP="00A61F7E">
            <w:pPr>
              <w:pStyle w:val="a5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（元）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合计</w:t>
            </w:r>
          </w:p>
          <w:p w:rsidR="00485768" w:rsidRDefault="00723A33" w:rsidP="00A61F7E">
            <w:pPr>
              <w:pStyle w:val="a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（元）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品牌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参数是否响应（是/否）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485768" w:rsidTr="00A61F7E">
        <w:trPr>
          <w:trHeight w:val="347"/>
        </w:trPr>
        <w:tc>
          <w:tcPr>
            <w:tcW w:w="13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18"/>
                <w:szCs w:val="18"/>
              </w:rPr>
              <w:t>一、排污设施视频监控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="黑体" w:eastAsia="黑体" w:hAnsi="黑体" w:cs="黑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9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高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清网络球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机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视频输出支持1920×1080@25fps，分辨力不小于1100TVL，红外距离可达300米；内置GPU芯片；镜头采用F1.2大光圈；支持最低照度可达彩色0.0003Lux，黑白0.0001Lux；支持水平手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控速度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不小于550°/S，垂直速度不小于120°/S，云台定位精度为±0.1°；水平旋转范围为360°连续旋转，垂直旋转范围为-20°~90°；支持300个预置位，支持35条巡航路径，支持7条以上的模式路径设置，支持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预置位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视频冻结功能；可实现RS485接口优先或RJ45网络接口优先控制功能；支持智能红外、透雾、强光抑制、电子防抖、数字降噪、防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红外过曝功能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；★对人或车辆进入警戒区域后，设备可发出白光警示、声音警示，并启动智能跟踪功能；★设备支持可见光及红外光补光，补光距离不低于100米，可见光可识别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距设备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50m处的人体轮廓；支持区域遮盖功能，支持设置不少于24个不规则四边形区域，可设置不同颜色；支持3D定位、断电记忆功能；支持IP地址访问控制功能，支持定时抓拍或报警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联动抓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图上传ftp功能；球机应具备本机存储功能，支持SD卡热插拔，最大支持256GB；支持采用H.265、H.264视频编码标准；H.264编码支持Baseline/Main/High Profile，音频编码支持；G.711ulaw/G.711alaw/G.726/G.722.1/AAC；支持区域入侵、越界入侵、徘徊、物品移除、物品遗留、人员聚集、停车，并联动报警；具备较好的防护性能环境适应性，支持IP67，8kV防浪涌，工作温度范围可达-45℃-70℃；★具备较好的电源适应性，电压在AC24V±45%或DC24V±45%范围内变化时，设备可正常工作；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含壁装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支架、电源。支持ONVIF,GB28181协议；光学变倍不低于30倍；支持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断网续传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功能；不低于200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万像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素；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55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jc w:val="center"/>
              <w:rPr>
                <w:rFonts w:asciiTheme="majorEastAsia" w:eastAsiaTheme="majorEastAsia" w:hAnsiTheme="majorEastAsia" w:cs="宋体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高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清网络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枪机</w:t>
            </w:r>
          </w:p>
        </w:tc>
        <w:tc>
          <w:tcPr>
            <w:tcW w:w="7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jc w:val="both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200万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星光级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1/1.8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”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CMOS AI智能人脸日夜型筒型网络摄像机；最低照度：彩色:0.0005 Lux @(F1.2,AGC ON)；黑白:0.0001Lux @(F1.2,AGC ON)，0 Lux with IR；镜头：8-32mm F1.4, 水平视场角42.5°~13.4°；视频压缩标准：H.265/H.264 / MJPEG；最大图像尺寸：1920×1080；图像设置：饱和度、亮度、对比度、锐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度通过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客户端或者浏览器可调；图像增强：背光补偿、强光抑制、透雾、电子防抖、3D降噪；日夜转换方式：自动、定时、报警触发；区域裁剪支持；图片叠加：支持BMP 24位图像叠加，可选择区域；感兴趣区域：ROI支持三码流分别设置4个固定区域、全画面动态人脸跟踪；支持三种智能资源切换：人脸抓拍（默认）、道路监控、Smart事件；人脸抓拍：支持对运动人脸进行检测、跟踪、抓拍、评分、筛选，输出最优的人脸抓图。抓图分辨率：分辨率：1920x1080；背景大图图片字符叠加功能：支持设备编号、抓拍时间、监测点信息；抓拍次数：支持抓拍次数（1-10次）可设；人脸曝光支持；宽动态：超宽动态范围达120dB，室内逆光环境下监控；道路监控：支持车辆</w:t>
            </w: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 xml:space="preserve">检测：车牌抓拍，车辆颜色、类型，机非人识别；Smart事件：支持越界侦测,区域入侵侦测,进入/离开区域侦测,徘徊侦测,人员聚集侦测,快速运动侦测,停车侦测,物品遗留/拿取侦测；存储功能：支持Micro SD(即TF卡)/Micro SDHC /Micro SDXC卡(128G)断网本地存储，NAS(NFS、SMB/CIFS均支持) ；智能报警：移动侦测、遮挡报警、网线断、IP地址冲突、存储器满、存储器错、非法访问；通用功能：一键恢复,防闪烁,五码流,心跳,镜像,密码保护,视频遮盖,水印技术,IP地址过滤；设备内置高效红外阵列灯，可根据镜头焦距大小智能改变红外灯亮度，使红外补光均匀。通讯接口：1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RJ45 10M / 100M /1000M自适应以太网口 1个RS-485接口；音频接口：1对音频输入(Line in )/输出接口；报警接口：2对报警输入/输出接口(报警输出最大支持DC24V 1A或AC110V 500mA)；工作温度和湿度：-30℃~60℃,湿度小于95%(无凝结)；电源供应：DC12V±20% /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PoE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(802.3at)；电源接口类型：三芯电源接口；功耗：DC12V，1.2A,Max：14.5W；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PoE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(802.3at,36-57V)，0.2-0.3A，CLASS  4, MAX: 14.5W；防护等级IP67；补光距离：红外最远达100米；尺寸(mm)：206.5×103.9×100；重量：1360g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>4台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115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16路NVR</w:t>
            </w:r>
          </w:p>
        </w:tc>
        <w:tc>
          <w:tcPr>
            <w:tcW w:w="7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硬件规格：2U标准机架式；2个HDMI，2个VGA,HDMI+VGA组内同源；8盘位，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可满配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6TB硬盘 ；2个千兆网口；2个USB2.0接口、1个USB3.0接口；1个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eSATA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接口；支持RAID0、1、5、10，支持全局热备盘；软件性能：输入带宽：256M；16路H.264、H.265混合接入；最大支持16×1080P解码；支持H.265、H.264解码。支持音频输入输出接口；支持GB28181协议接入平台。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44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监控硬盘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监控级硬盘 4TB/64MB(6Gb/秒 NCQ)/5900RPM/SATA3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4快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超五类网线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老化前抗张强度(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Mpa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) ≥13.5，伸长率(%) ≥150、冷弯(-20±2℃×4 小时) 电缆外径的8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开裂、环境温度: -20℃ - 75℃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7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电源线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RVV2*1.0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35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光缆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国标室外8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芯铠装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113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交换机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1、交换容量≥16Gbps，转发能力≥11Mpps；2、符合IEEE 802.3 10Base-T，IEEE 802.3u 100Base-TX，IEEE802.3x和IEEE802.3ab 1000Base-T标准；3、8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10/100/1000M自适应RJ45端口，支持端口自动翻转（Auto MDI/MDIX）；4、内置通用电源，1U铁壳，19英寸机箱，工业级设计；5、无风扇静音设计，自然散热；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ind w:firstLineChars="100" w:firstLine="180"/>
              <w:jc w:val="left"/>
              <w:rPr>
                <w:rFonts w:ascii="Tahoma" w:eastAsia="微软雅黑" w:hAnsi="Tahoma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35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光纤收发器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千兆光纤收发器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37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显示器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20寸液晶显示器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9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机柜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19U标准机柜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6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摄像机存储卡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pStyle w:val="a5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128G(需与前端设备统一品牌)。存储功能：支持Micro SD(即TF卡)，NAS(NFS、SMB/CIFS均支持)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512"/>
        </w:trPr>
        <w:tc>
          <w:tcPr>
            <w:tcW w:w="132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left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18"/>
                <w:szCs w:val="18"/>
              </w:rPr>
              <w:t>二、院区室外监控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left"/>
              <w:rPr>
                <w:rFonts w:ascii="黑体" w:eastAsia="黑体" w:hAnsi="黑体" w:cs="黑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9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网络高清警戒球机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rPr>
                <w:rFonts w:ascii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1/1.8 inch SONY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Exmor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CMOS传感器,最大分辨率可达1920x1080；22倍光学变焦、16倍数字变倍；通过红外灯照射，可基本分辨距离600米处所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摄目标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的轮廓和状态；支持对图像中的单个目标物体轨迹进行自动跟踪；支持自动跟踪或手动跟踪 ；视频压缩标准：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须支持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H.265、H.264(Main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Profile,High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Profile,BaseLine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 Profile)  、M-JPEG ；彩色分辨力≥1000TVL、亮度（灰度）鉴别等级≥11级；内置热处理装置，降低球机内腔温度，防止球机内起雾；球机具有RS-485、RJ45、BNC、音频输入/输出接口；★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需支持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对进入警戒区域的人和车辆触发白光警示、语音警告或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激光警吓功能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，并具有联动智能跟踪功能（投标文件中须提供第三方权威机构出具的检验报告扫描件或影印件，检验报告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摄像机能按选取方向调整至该位置，并自动进行变焦和对焦；手动水平控制最大速度不小于500°/s，水平360°连续旋转，垂直转动角度-11°～90°；★内置激光器，可手动开启/关闭，内置扬声器，可播放语录音频，支持远程喊话功能。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 。支持三码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流同时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输出，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主码流最高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分辨率1080p@30fps；可通过手动或自动方式开启雨刷；支持宽动态、强光抑制、背光补偿、3D降噪、图像翻转、NIR红外增强、透雾、数字防抖、场景模式设置、ROI感兴趣区域增强编码 ；★多光谱补光功能：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须支持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红外灯、白光灯补光，可自动调节补光灯切换（投标文件中须提供第三方权威机构出具的检验报告扫描件或影印件，检验报告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 支持8路报警输入2路报警输出、1路音频输入和1路音频输出，音频采用AAC编码，48K采样率，高保真音频；支持红外灯、白光灯补光；可自动调节补光灯切换，通过红外灯照射可基本分辨距离不低于560米处所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摄目标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的轮廓和状态；通过白光照射可基本分辨不低于50米处所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摄目标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的颜色和轮廓（投标文件中须提供第三方权威机构出具的检验报告扫描件或影印件，检验报告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★内容及具有“CMA”或“CNAS”标志）；照度低：0.0001Lx(F=1.6 ，关闭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帧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累积，彩色模式），能基本分辨被摄目标的轮廓特征和色彩；★具有音频陡升、音频陡降、音频信号丢失的音频输入异常检测功能，并能发出报警信号。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 ； 可在视频图像上叠加字符，包括监控点号，监控点名称，摄像机编号、抓拍时间、车牌号码、车身颜色/车辆类型、场景编号/场景名称等信息。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含壁装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支架、电源。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星光级高清网络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枪机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万像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素CMOS传感器 ；可选4mm/6mm高清镜头 ；支持分辨率1920×1080，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帧率在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1~30帧可调 ；★支持远程对讲功能：无需外接配件，就能与客户端（IE、QQ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物联客户端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等平台）及NVR之间进行远程双向对接（投标文件中须提供第三方权威机构出具的检验报告扫描件或</w:t>
            </w: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>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★内容及具有“CMA”或“CNAS”标志）；最低照度彩色0.0008lx，黑白0.0001lx ；支持H.265、H.264（Main Profile，High Profile，Baseline Profile）、M-JPEG ；具备1个RJ45接口、1个485接口、1个USB接口、1个Micro SD接口，具备1对音频输入/输出接口，具备2路报警输入、1路报警输出接口；支持QQ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物联功能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检查：通过QQ客户端（PC版、手机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安卓版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、手机IOS版）进行远程音频实时浏览；支持远程抓拍和录像，并能查看抓拍图片、录像文件及报警信息；支持摄像机Micro SD卡内的录像、图片导出； ★内置拾音器，拾音距离≥20米（投标文件中须提供第三方权威机构出具的检验报告扫描件或影印件，检验报告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★内容及具有“CMA”或“CNAS”标志）；★内置扬声器，最大声音响度≥120dB（投标文件中须提供第三方权威机构出具的检验报告扫描件或影印件，检验报告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★内容及具有“CMA”或“CNAS”标志）；支持宽动态、背光补偿、强光抑制、3D降噪和图像翻转 ；★支持白光功能检查：具备两个白光灯，支持灯光亮度调节，可设置常亮补光或联动闪烁且具有10级灯光亮度调节功能（投标文件中须提供第三方权威机构出具的检验报告扫描件或影印件，检验报告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★支持声光告警功能，有人员进入警戒区域时，可通过白光灯闪烁、语音提示（系统语音、自定义语音或者对讲）方式进行警示，并具有联动录像、抓拍功能（投标文件中须提供第三方权威机构出具的检验报告扫描件或影印件，检验报告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须体现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★内容及具有“CMA”或“CNAS”标志）；支持对单个车道上行驶速度低于规定时速的车辆进行抓拍，并联动报警输出；支持对抓拍车辆号进行识别，记录车牌、车身颜色、地点、经过时间等信息；支持人脸检测，并联动报警输出、抓拍或者录像，且人脸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抓拍率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≥94%；支持人数统计功能，可同时统计进、出人数；防护等级IP67。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lastRenderedPageBreak/>
              <w:t>3台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硬盘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监控级硬盘 4TB/64MB(6Gb/秒 NCQ)/5900RPM/SATA3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2快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549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超五类网线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老化前抗张强度(</w:t>
            </w:r>
            <w:proofErr w:type="spell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Mpa</w:t>
            </w:r>
            <w:proofErr w:type="spell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) ≥13.5，伸长率(%) ≥150、冷弯(-20±2℃×4 小时) 电缆外径的8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，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不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开裂、环境温度: -20℃ - 75℃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电源线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国标RVV2*1.0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500米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光缆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国标8芯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室外铠装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200米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33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光纤收发器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千兆单模光纤收发器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交换机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 xml:space="preserve">交换容量≥16Gbps，转发能力≥11Mpps；符合IEEE 802.3 10Base-T，IEEE 802.3u 100Base-TX，IEEE802.3x和IEEE802.3ab 1000Base-T标准；8 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10/100/1000M自适应RJ45端口，支持端口自动翻转（Auto MDI/MDIX）；内置通用电源，1U铁壳，19英寸机箱，工业级设计；无风扇静音设计，自然散热；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2台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132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left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color w:val="000000"/>
                <w:sz w:val="18"/>
                <w:szCs w:val="18"/>
              </w:rPr>
              <w:t>三、辅材及安装调试费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left"/>
              <w:rPr>
                <w:rFonts w:ascii="黑体" w:eastAsia="黑体" w:hAnsi="黑体" w:cs="黑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辅材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施工所需管材、尾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纤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、电源插排等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51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安装调试费用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pStyle w:val="a5"/>
              <w:rPr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重点排污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设施及院区室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外监控安装调试费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18"/>
                <w:szCs w:val="18"/>
              </w:rPr>
              <w:t>1项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485768" w:rsidP="00A61F7E">
            <w:pPr>
              <w:spacing w:before="100" w:beforeAutospacing="1" w:after="100" w:afterAutospacing="1"/>
              <w:ind w:firstLine="480"/>
              <w:rPr>
                <w:rFonts w:asciiTheme="majorEastAsia" w:eastAsiaTheme="majorEastAsia" w:hAnsiTheme="majorEastAsia" w:cs="宋体"/>
                <w:color w:val="000000"/>
                <w:sz w:val="18"/>
                <w:szCs w:val="18"/>
              </w:rPr>
            </w:pPr>
          </w:p>
        </w:tc>
      </w:tr>
      <w:tr w:rsidR="00485768" w:rsidTr="00A61F7E">
        <w:trPr>
          <w:trHeight w:val="285"/>
        </w:trPr>
        <w:tc>
          <w:tcPr>
            <w:tcW w:w="19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21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spacing w:before="100" w:beforeAutospacing="1" w:after="100" w:afterAutospacing="1"/>
              <w:ind w:firstLine="480"/>
              <w:jc w:val="center"/>
              <w:rPr>
                <w:rFonts w:asciiTheme="majorEastAsia" w:eastAsiaTheme="majorEastAsia" w:hAnsiTheme="maj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sz w:val="18"/>
                <w:szCs w:val="18"/>
              </w:rPr>
              <w:t xml:space="preserve">                      元</w:t>
            </w:r>
          </w:p>
        </w:tc>
      </w:tr>
      <w:tr w:rsidR="00485768" w:rsidTr="00A61F7E">
        <w:trPr>
          <w:trHeight w:val="570"/>
        </w:trPr>
        <w:tc>
          <w:tcPr>
            <w:tcW w:w="1412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723A33" w:rsidP="00A61F7E">
            <w:pPr>
              <w:ind w:firstLineChars="200" w:firstLine="422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备注：1.报价含运输、包装、税金、保险等一切费用。2.投标人须按此表中的对应栏目内容填写，若需增加栏目，请在栏目“备注”中填写，并作详细说明。3.报价单须注明是否响应。</w:t>
            </w:r>
          </w:p>
        </w:tc>
      </w:tr>
      <w:tr w:rsidR="00485768" w:rsidTr="00A61F7E">
        <w:trPr>
          <w:trHeight w:val="570"/>
        </w:trPr>
        <w:tc>
          <w:tcPr>
            <w:tcW w:w="141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768" w:rsidRDefault="0085780D" w:rsidP="00F1703D">
            <w:pPr>
              <w:ind w:firstLineChars="200" w:firstLine="422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为保证设备运行稳定性，投标方所投前端设备与存储设备需同一品牌。以上标★项为设备关键参数，需提供权威检测机构出具的检测报告复印件并加盖原厂公章证明</w:t>
            </w:r>
            <w:r>
              <w:rPr>
                <w:rFonts w:ascii="黑体" w:eastAsia="黑体" w:hAnsi="黑体" w:cs="黑体" w:hint="eastAsia"/>
                <w:b/>
                <w:bCs/>
                <w:szCs w:val="21"/>
                <w:u w:val="single"/>
              </w:rPr>
              <w:t>（</w:t>
            </w:r>
            <w:r w:rsidRPr="004E74F9">
              <w:rPr>
                <w:rFonts w:ascii="黑体" w:eastAsia="黑体" w:hAnsi="黑体" w:cs="黑体" w:hint="eastAsia"/>
                <w:b/>
                <w:bCs/>
                <w:szCs w:val="21"/>
              </w:rPr>
              <w:t>在开标时或中标后提供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.</w:t>
            </w:r>
            <w:r>
              <w:rPr>
                <w:rFonts w:ascii="黑体" w:eastAsia="黑体" w:hAnsi="黑体" w:cs="黑体" w:hint="eastAsia"/>
                <w:b/>
                <w:bCs/>
                <w:szCs w:val="21"/>
                <w:u w:val="single"/>
              </w:rPr>
              <w:t>）</w:t>
            </w:r>
          </w:p>
        </w:tc>
      </w:tr>
    </w:tbl>
    <w:p w:rsidR="00485768" w:rsidRDefault="00485768">
      <w:pPr>
        <w:widowControl/>
        <w:shd w:val="clear" w:color="auto" w:fill="FFFFFF"/>
        <w:spacing w:line="640" w:lineRule="exact"/>
        <w:rPr>
          <w:rFonts w:ascii="方正书宋简体" w:eastAsia="方正书宋简体" w:hAnsi="宋体"/>
          <w:sz w:val="28"/>
          <w:szCs w:val="28"/>
        </w:rPr>
      </w:pPr>
    </w:p>
    <w:p w:rsidR="00485768" w:rsidRDefault="00485768">
      <w:pPr>
        <w:widowControl/>
        <w:shd w:val="clear" w:color="auto" w:fill="FFFFFF"/>
        <w:spacing w:line="640" w:lineRule="exact"/>
        <w:rPr>
          <w:rFonts w:ascii="方正书宋简体" w:eastAsia="方正书宋简体" w:hAnsi="宋体"/>
          <w:sz w:val="28"/>
          <w:szCs w:val="28"/>
        </w:rPr>
      </w:pPr>
      <w:bookmarkStart w:id="0" w:name="_GoBack"/>
      <w:bookmarkEnd w:id="0"/>
    </w:p>
    <w:p w:rsidR="00485768" w:rsidRDefault="00485768">
      <w:pPr>
        <w:widowControl/>
        <w:shd w:val="clear" w:color="auto" w:fill="FFFFFF"/>
        <w:spacing w:line="640" w:lineRule="exact"/>
        <w:rPr>
          <w:rFonts w:ascii="方正书宋简体" w:eastAsia="方正书宋简体" w:hAnsi="宋体"/>
          <w:sz w:val="28"/>
          <w:szCs w:val="28"/>
        </w:rPr>
      </w:pPr>
    </w:p>
    <w:p w:rsidR="00485768" w:rsidRDefault="00723A33">
      <w:pPr>
        <w:widowControl/>
        <w:shd w:val="clear" w:color="auto" w:fill="FFFFFF"/>
        <w:spacing w:line="640" w:lineRule="exact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书宋简体" w:eastAsia="方正书宋简体" w:hAnsi="宋体" w:hint="eastAsia"/>
          <w:sz w:val="28"/>
          <w:szCs w:val="28"/>
        </w:rPr>
        <w:t>投标人法定代表人或法定代表人授权代表签字：</w:t>
      </w:r>
      <w:r>
        <w:rPr>
          <w:rFonts w:ascii="方正书宋简体" w:eastAsia="方正书宋简体" w:hAnsi="宋体" w:hint="eastAsia"/>
          <w:sz w:val="28"/>
          <w:szCs w:val="28"/>
          <w:u w:val="single"/>
        </w:rPr>
        <w:t xml:space="preserve">           </w:t>
      </w:r>
    </w:p>
    <w:sectPr w:rsidR="00485768" w:rsidSect="00485768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D48" w:rsidRDefault="00C76D48" w:rsidP="00485768">
      <w:r>
        <w:separator/>
      </w:r>
    </w:p>
  </w:endnote>
  <w:endnote w:type="continuationSeparator" w:id="0">
    <w:p w:rsidR="00C76D48" w:rsidRDefault="00C76D48" w:rsidP="0048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D48" w:rsidRDefault="00C76D48" w:rsidP="00485768">
      <w:r>
        <w:separator/>
      </w:r>
    </w:p>
  </w:footnote>
  <w:footnote w:type="continuationSeparator" w:id="0">
    <w:p w:rsidR="00C76D48" w:rsidRDefault="00C76D48" w:rsidP="00485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768" w:rsidRDefault="00723A33">
    <w:pPr>
      <w:pStyle w:val="a4"/>
      <w:tabs>
        <w:tab w:val="center" w:pos="7038"/>
        <w:tab w:val="left" w:pos="10678"/>
      </w:tabs>
      <w:jc w:val="left"/>
      <w:rPr>
        <w:rFonts w:ascii="方正小标宋简体" w:eastAsia="方正小标宋简体" w:hAnsi="方正小标宋简体" w:cs="方正小标宋简体"/>
        <w:b/>
        <w:bCs/>
        <w:sz w:val="30"/>
        <w:szCs w:val="30"/>
      </w:rPr>
    </w:pP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</w: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  <w:t>报价单</w:t>
    </w: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</w:r>
    <w:r>
      <w:rPr>
        <w:rFonts w:ascii="方正小标宋简体" w:eastAsia="方正小标宋简体" w:hAnsi="方正小标宋简体" w:cs="方正小标宋简体" w:hint="eastAsia"/>
        <w:b/>
        <w:bCs/>
        <w:sz w:val="30"/>
        <w:szCs w:val="3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62E0368"/>
    <w:rsid w:val="00027D36"/>
    <w:rsid w:val="001D0493"/>
    <w:rsid w:val="001D76DD"/>
    <w:rsid w:val="00485768"/>
    <w:rsid w:val="004E74F9"/>
    <w:rsid w:val="00723A33"/>
    <w:rsid w:val="0085780D"/>
    <w:rsid w:val="008F531B"/>
    <w:rsid w:val="00A61F7E"/>
    <w:rsid w:val="00AA479C"/>
    <w:rsid w:val="00C76D48"/>
    <w:rsid w:val="00F1703D"/>
    <w:rsid w:val="031B09E7"/>
    <w:rsid w:val="064F0B87"/>
    <w:rsid w:val="06DB5A0A"/>
    <w:rsid w:val="09D07977"/>
    <w:rsid w:val="0AEA169A"/>
    <w:rsid w:val="13E92D44"/>
    <w:rsid w:val="187064C4"/>
    <w:rsid w:val="23B43A64"/>
    <w:rsid w:val="2DA47C9E"/>
    <w:rsid w:val="30E54342"/>
    <w:rsid w:val="362E0368"/>
    <w:rsid w:val="3711254D"/>
    <w:rsid w:val="3D403E68"/>
    <w:rsid w:val="4DB904F0"/>
    <w:rsid w:val="5391719A"/>
    <w:rsid w:val="59EA4C5D"/>
    <w:rsid w:val="69FE6A44"/>
    <w:rsid w:val="7BB140F8"/>
    <w:rsid w:val="7D44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1F9C81-85F2-4C83-9AB5-1E377F18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7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857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8576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 Spacing"/>
    <w:uiPriority w:val="1"/>
    <w:qFormat/>
    <w:rsid w:val="00485768"/>
    <w:pPr>
      <w:adjustRightInd w:val="0"/>
      <w:snapToGrid w:val="0"/>
    </w:pPr>
    <w:rPr>
      <w:rFonts w:ascii="Tahoma" w:eastAsia="微软雅黑" w:hAnsi="Tahom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866</Words>
  <Characters>4940</Characters>
  <Application>Microsoft Office Word</Application>
  <DocSecurity>0</DocSecurity>
  <Lines>41</Lines>
  <Paragraphs>11</Paragraphs>
  <ScaleCrop>false</ScaleCrop>
  <Company>Microsoft</Company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lv</cp:lastModifiedBy>
  <cp:revision>8</cp:revision>
  <dcterms:created xsi:type="dcterms:W3CDTF">2019-06-28T11:37:00Z</dcterms:created>
  <dcterms:modified xsi:type="dcterms:W3CDTF">2019-07-02T09:50:00Z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