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BA691E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滁州市第二人民医院凝血分析仪采购项目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CZEY-2025013</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w:t>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7</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bookmarkStart w:id="83" w:name="_GoBack"/>
      <w:bookmarkEnd w:id="83"/>
    </w:p>
    <w:p w14:paraId="0F2F9F52">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滁州市第二人民医院凝血分析仪采购项目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18</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CZEY-2025013</w:t>
      </w:r>
    </w:p>
    <w:p w14:paraId="059C229C">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滁州市第二人民医院凝血分析仪采购项目</w:t>
      </w:r>
    </w:p>
    <w:p w14:paraId="4199409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9.8</w:t>
      </w:r>
      <w:r>
        <w:rPr>
          <w:rFonts w:hint="eastAsia" w:ascii="宋体" w:hAnsi="宋体" w:eastAsia="宋体"/>
          <w:color w:val="auto"/>
          <w:sz w:val="24"/>
          <w:highlight w:val="none"/>
          <w:u w:val="single"/>
        </w:rPr>
        <w:t>万元</w:t>
      </w:r>
    </w:p>
    <w:p w14:paraId="2551944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9.8</w:t>
      </w:r>
      <w:r>
        <w:rPr>
          <w:rFonts w:hint="eastAsia" w:ascii="宋体" w:hAnsi="宋体" w:eastAsia="宋体"/>
          <w:color w:val="auto"/>
          <w:sz w:val="24"/>
          <w:highlight w:val="none"/>
          <w:u w:val="single"/>
          <w:lang w:val="en-US" w:eastAsia="zh-CN"/>
        </w:rPr>
        <w:t>万元，高于最高限价其投标文件按无效投标处理。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拟采购凝血分析仪，具体详见采购需求。</w:t>
      </w:r>
    </w:p>
    <w:p w14:paraId="4C98AB0F">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 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1500元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叁年</w:t>
            </w:r>
          </w:p>
        </w:tc>
      </w:tr>
    </w:tbl>
    <w:p w14:paraId="73FE517C">
      <w:pPr>
        <w:spacing w:line="360" w:lineRule="auto"/>
        <w:ind w:firstLine="437"/>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2104D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1、测试速度：PT≥180测试/小时。</w:t>
      </w:r>
    </w:p>
    <w:p w14:paraId="5C7D01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★2、可开展检测项目：PT、APTT、TT、FIB、D-二聚体，因子 II/V/VII/X/VIII/IX/XI/XII、vWF，AT-III、FDP、等（需提供配套试剂注册证及说明书，证明适配所投机型）。</w:t>
      </w:r>
    </w:p>
    <w:p w14:paraId="2FDFEF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olor w:val="auto"/>
          <w:sz w:val="24"/>
          <w:highlight w:val="none"/>
          <w:lang w:val="en-US" w:eastAsia="zh-CN"/>
        </w:rPr>
        <w:t>3、检测波长：≥2个，具备多波长检测功能。</w:t>
      </w:r>
    </w:p>
    <w:p w14:paraId="251065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olor w:val="auto"/>
          <w:sz w:val="24"/>
          <w:highlight w:val="none"/>
          <w:lang w:val="en-US" w:eastAsia="zh-CN"/>
        </w:rPr>
        <w:t>4、检测通道：仪器检测通道≥8个。</w:t>
      </w:r>
    </w:p>
    <w:p w14:paraId="452BCF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olor w:val="auto"/>
          <w:sz w:val="24"/>
          <w:highlight w:val="none"/>
          <w:lang w:val="en-US" w:eastAsia="zh-CN"/>
        </w:rPr>
        <w:t>5、试剂位：仪器试剂位≥38个。</w:t>
      </w:r>
    </w:p>
    <w:p w14:paraId="03765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6、进样器：一次性上机样本≥50个。</w:t>
      </w:r>
    </w:p>
    <w:p w14:paraId="4E7FB6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7、样本质量智能检测：检测前监测样本溶血、黄疸、脂血情况。</w:t>
      </w:r>
    </w:p>
    <w:p w14:paraId="0FDFB1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8、样本量监测：自动检测样本量不足或过多。</w:t>
      </w:r>
    </w:p>
    <w:p w14:paraId="3698E9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olor w:val="auto"/>
          <w:sz w:val="24"/>
          <w:highlight w:val="none"/>
          <w:lang w:val="en-US" w:eastAsia="zh-CN"/>
        </w:rPr>
        <w:t>9、特殊功能：具备自动再检、自动连锁筛选及凝血因子抑制物分析功能。</w:t>
      </w:r>
    </w:p>
    <w:p w14:paraId="66B4E0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10、交叉试验功能：可实现混合交叉实验，提供即时型、延迟型检测结果。</w:t>
      </w:r>
    </w:p>
    <w:p w14:paraId="4375EA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11、凝固曲线波形分析：通过凝固曲线求导分析，在无额外成本下提供更多止凝血系统疾病信息。</w:t>
      </w:r>
    </w:p>
    <w:p w14:paraId="48B5B0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★12、室间质评：2024 年全国凝血试验分组数据中，PT 组实验室数≥200家（提供室间质量评价报告）。</w:t>
      </w:r>
    </w:p>
    <w:p w14:paraId="03E440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13、系统对接：预留配置网口，可无缝接入实验室管理系统（LIS），实现实验数据的实时传输，接口费用包含在本次招标范围内。</w:t>
      </w:r>
    </w:p>
    <w:p w14:paraId="44D685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14、售后服务：所投产品生产厂家针对本次招标项目的厂家售后服务承诺函。</w:t>
      </w:r>
    </w:p>
    <w:p w14:paraId="78EB483F">
      <w:pPr>
        <w:spacing w:line="360" w:lineRule="auto"/>
        <w:jc w:val="both"/>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6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025"/>
        <w:gridCol w:w="7296"/>
        <w:gridCol w:w="733"/>
      </w:tblGrid>
      <w:tr w14:paraId="5C3A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3" w:type="pct"/>
            <w:tcBorders>
              <w:top w:val="single" w:color="auto" w:sz="4" w:space="0"/>
              <w:left w:val="single" w:color="auto" w:sz="4" w:space="0"/>
              <w:bottom w:val="single" w:color="auto" w:sz="4" w:space="0"/>
              <w:right w:val="single" w:color="auto" w:sz="4" w:space="0"/>
            </w:tcBorders>
            <w:vAlign w:val="center"/>
          </w:tcPr>
          <w:p w14:paraId="32FB336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490" w:type="pct"/>
            <w:tcBorders>
              <w:top w:val="single" w:color="auto" w:sz="4" w:space="0"/>
              <w:left w:val="single" w:color="auto" w:sz="4" w:space="0"/>
              <w:bottom w:val="single" w:color="auto" w:sz="4" w:space="0"/>
              <w:right w:val="single" w:color="auto" w:sz="4" w:space="0"/>
            </w:tcBorders>
            <w:vAlign w:val="center"/>
          </w:tcPr>
          <w:p w14:paraId="10C50C0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486" w:type="pct"/>
            <w:tcBorders>
              <w:top w:val="single" w:color="auto" w:sz="4" w:space="0"/>
              <w:left w:val="single" w:color="auto" w:sz="4" w:space="0"/>
              <w:bottom w:val="single" w:color="auto" w:sz="4" w:space="0"/>
              <w:right w:val="single" w:color="auto" w:sz="4" w:space="0"/>
            </w:tcBorders>
            <w:vAlign w:val="center"/>
          </w:tcPr>
          <w:p w14:paraId="1489CD3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349" w:type="pct"/>
            <w:tcBorders>
              <w:top w:val="single" w:color="auto" w:sz="4" w:space="0"/>
              <w:left w:val="single" w:color="auto" w:sz="4" w:space="0"/>
              <w:bottom w:val="single" w:color="auto" w:sz="4" w:space="0"/>
              <w:right w:val="single" w:color="auto" w:sz="4" w:space="0"/>
            </w:tcBorders>
            <w:vAlign w:val="center"/>
          </w:tcPr>
          <w:p w14:paraId="0451FBD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1046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restart"/>
            <w:tcBorders>
              <w:left w:val="single" w:color="auto" w:sz="4" w:space="0"/>
              <w:right w:val="single" w:color="auto" w:sz="4" w:space="0"/>
            </w:tcBorders>
            <w:vAlign w:val="center"/>
          </w:tcPr>
          <w:p w14:paraId="465239F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7</w:t>
            </w:r>
            <w:r>
              <w:rPr>
                <w:rFonts w:hint="eastAsia" w:asciiTheme="majorEastAsia" w:hAnsiTheme="majorEastAsia" w:eastAsiaTheme="majorEastAsia" w:cstheme="majorEastAsia"/>
                <w:b w:val="0"/>
                <w:bCs w:val="0"/>
                <w:sz w:val="24"/>
                <w:szCs w:val="24"/>
              </w:rPr>
              <w:t>0 分）</w:t>
            </w:r>
          </w:p>
        </w:tc>
        <w:tc>
          <w:tcPr>
            <w:tcW w:w="43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050E4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1DED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continue"/>
            <w:tcBorders>
              <w:left w:val="single" w:color="auto" w:sz="4" w:space="0"/>
              <w:right w:val="single" w:color="auto" w:sz="4" w:space="0"/>
            </w:tcBorders>
            <w:vAlign w:val="center"/>
          </w:tcPr>
          <w:p w14:paraId="2CE20E2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1A965623">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486" w:type="pct"/>
            <w:tcBorders>
              <w:top w:val="single" w:color="auto" w:sz="4" w:space="0"/>
              <w:left w:val="single" w:color="auto" w:sz="4" w:space="0"/>
              <w:bottom w:val="single" w:color="auto" w:sz="4" w:space="0"/>
              <w:right w:val="single" w:color="auto" w:sz="4" w:space="0"/>
            </w:tcBorders>
            <w:shd w:val="clear" w:color="auto" w:fill="auto"/>
          </w:tcPr>
          <w:p w14:paraId="268CBCCB">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自2023年1月1日以来（以合同签订时间为准），具有所投产品供货业绩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5</w:t>
            </w:r>
            <w:r>
              <w:rPr>
                <w:rFonts w:hint="eastAsia" w:asciiTheme="majorEastAsia" w:hAnsiTheme="majorEastAsia" w:eastAsiaTheme="majorEastAsia" w:cstheme="majorEastAsia"/>
                <w:b w:val="0"/>
                <w:bCs w:val="0"/>
                <w:snapToGrid w:val="0"/>
                <w:kern w:val="0"/>
                <w:sz w:val="24"/>
                <w:szCs w:val="24"/>
                <w:lang w:bidi="ar"/>
              </w:rPr>
              <w:t>分，满分</w:t>
            </w:r>
            <w:r>
              <w:rPr>
                <w:rFonts w:hint="eastAsia" w:asciiTheme="majorEastAsia" w:hAnsiTheme="majorEastAsia" w:eastAsiaTheme="majorEastAsia" w:cstheme="majorEastAsia"/>
                <w:b w:val="0"/>
                <w:bCs w:val="0"/>
                <w:snapToGrid w:val="0"/>
                <w:kern w:val="0"/>
                <w:sz w:val="24"/>
                <w:szCs w:val="24"/>
                <w:lang w:val="en-US" w:eastAsia="zh-CN" w:bidi="ar"/>
              </w:rPr>
              <w:t>10</w:t>
            </w:r>
            <w:r>
              <w:rPr>
                <w:rFonts w:hint="eastAsia" w:asciiTheme="majorEastAsia" w:hAnsiTheme="majorEastAsia" w:eastAsiaTheme="majorEastAsia" w:cstheme="majorEastAsia"/>
                <w:b w:val="0"/>
                <w:bCs w:val="0"/>
                <w:snapToGrid w:val="0"/>
                <w:kern w:val="0"/>
                <w:sz w:val="24"/>
                <w:szCs w:val="24"/>
                <w:lang w:bidi="ar"/>
              </w:rPr>
              <w:t>分；</w:t>
            </w:r>
          </w:p>
          <w:p w14:paraId="491053ED">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w:t>
            </w:r>
            <w:r>
              <w:rPr>
                <w:rFonts w:hint="eastAsia" w:asciiTheme="majorEastAsia" w:hAnsiTheme="majorEastAsia" w:eastAsiaTheme="majorEastAsia" w:cstheme="majorEastAsia"/>
                <w:b w:val="0"/>
                <w:bCs w:val="0"/>
                <w:snapToGrid w:val="0"/>
                <w:kern w:val="0"/>
                <w:sz w:val="24"/>
                <w:szCs w:val="24"/>
                <w:lang w:val="en-US" w:eastAsia="zh-CN" w:bidi="ar"/>
              </w:rPr>
              <w:t>业绩，</w:t>
            </w:r>
            <w:r>
              <w:rPr>
                <w:rFonts w:hint="eastAsia" w:asciiTheme="majorEastAsia" w:hAnsiTheme="majorEastAsia" w:eastAsiaTheme="majorEastAsia" w:cstheme="majorEastAsia"/>
                <w:b w:val="0"/>
                <w:bCs w:val="0"/>
                <w:snapToGrid w:val="0"/>
                <w:kern w:val="0"/>
                <w:sz w:val="24"/>
                <w:szCs w:val="24"/>
                <w:lang w:bidi="ar"/>
              </w:rPr>
              <w:t>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5221EF9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4006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continue"/>
            <w:tcBorders>
              <w:left w:val="single" w:color="auto" w:sz="4" w:space="0"/>
              <w:right w:val="single" w:color="auto" w:sz="4" w:space="0"/>
            </w:tcBorders>
            <w:vAlign w:val="center"/>
          </w:tcPr>
          <w:p w14:paraId="7F6EC1BF">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3E81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r>
      <w:tr w14:paraId="7FC5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continue"/>
            <w:tcBorders>
              <w:left w:val="single" w:color="auto" w:sz="4" w:space="0"/>
              <w:right w:val="single" w:color="auto" w:sz="4" w:space="0"/>
            </w:tcBorders>
            <w:vAlign w:val="center"/>
          </w:tcPr>
          <w:p w14:paraId="30A3A1E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554850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486" w:type="pct"/>
            <w:tcBorders>
              <w:top w:val="single" w:color="auto" w:sz="4" w:space="0"/>
              <w:left w:val="single" w:color="auto" w:sz="4" w:space="0"/>
              <w:bottom w:val="single" w:color="auto" w:sz="4" w:space="0"/>
              <w:right w:val="single" w:color="auto" w:sz="4" w:space="0"/>
            </w:tcBorders>
            <w:shd w:val="clear" w:color="auto" w:fill="auto"/>
          </w:tcPr>
          <w:p w14:paraId="09B91369">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val="en-US" w:eastAsia="zh-CN" w:bidi="ar"/>
              </w:rPr>
              <w:t>1</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标注“★”的为</w:t>
            </w:r>
            <w:r>
              <w:rPr>
                <w:rFonts w:hint="eastAsia" w:asciiTheme="majorEastAsia" w:hAnsiTheme="majorEastAsia" w:eastAsiaTheme="majorEastAsia" w:cstheme="majorEastAsia"/>
                <w:b w:val="0"/>
                <w:bCs w:val="0"/>
                <w:snapToGrid w:val="0"/>
                <w:kern w:val="0"/>
                <w:sz w:val="24"/>
                <w:szCs w:val="24"/>
                <w:highlight w:val="none"/>
                <w:lang w:val="en-US" w:eastAsia="zh-CN" w:bidi="ar"/>
              </w:rPr>
              <w:t>核心参数，</w:t>
            </w:r>
            <w:r>
              <w:rPr>
                <w:rFonts w:hint="eastAsia" w:asciiTheme="majorEastAsia" w:hAnsiTheme="majorEastAsia" w:eastAsiaTheme="majorEastAsia" w:cstheme="majorEastAsia"/>
                <w:b w:val="0"/>
                <w:bCs w:val="0"/>
                <w:snapToGrid w:val="0"/>
                <w:kern w:val="0"/>
                <w:sz w:val="24"/>
                <w:szCs w:val="24"/>
                <w:highlight w:val="none"/>
                <w:lang w:bidi="ar"/>
              </w:rPr>
              <w:t>须全部满足，任一项不响应或负偏离按无效标处理。</w:t>
            </w:r>
          </w:p>
          <w:p w14:paraId="6FE8425B">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highlight w:val="none"/>
                <w:lang w:bidi="ar"/>
              </w:rPr>
              <w:t>（2）标注“▲”的</w:t>
            </w:r>
            <w:r>
              <w:rPr>
                <w:rFonts w:hint="eastAsia" w:asciiTheme="majorEastAsia" w:hAnsiTheme="majorEastAsia" w:eastAsiaTheme="majorEastAsia" w:cstheme="majorEastAsia"/>
                <w:b w:val="0"/>
                <w:bCs w:val="0"/>
                <w:snapToGrid w:val="0"/>
                <w:kern w:val="0"/>
                <w:sz w:val="24"/>
                <w:szCs w:val="24"/>
                <w:highlight w:val="none"/>
                <w:lang w:val="en-US" w:eastAsia="zh-CN" w:bidi="ar"/>
              </w:rPr>
              <w:t>为</w:t>
            </w:r>
            <w:r>
              <w:rPr>
                <w:rFonts w:hint="eastAsia" w:asciiTheme="majorEastAsia" w:hAnsiTheme="majorEastAsia" w:eastAsiaTheme="majorEastAsia" w:cstheme="majorEastAsia"/>
                <w:b w:val="0"/>
                <w:bCs w:val="0"/>
                <w:snapToGrid w:val="0"/>
                <w:kern w:val="0"/>
                <w:sz w:val="24"/>
                <w:szCs w:val="24"/>
                <w:highlight w:val="none"/>
                <w:lang w:bidi="ar"/>
              </w:rPr>
              <w:t>重要技术参数，每满足或优于一项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6</w:t>
            </w:r>
            <w:r>
              <w:rPr>
                <w:rFonts w:hint="eastAsia" w:asciiTheme="majorEastAsia" w:hAnsiTheme="majorEastAsia" w:eastAsiaTheme="majorEastAsia" w:cstheme="majorEastAsia"/>
                <w:b w:val="0"/>
                <w:bCs w:val="0"/>
                <w:snapToGrid w:val="0"/>
                <w:kern w:val="0"/>
                <w:sz w:val="24"/>
                <w:szCs w:val="24"/>
                <w:highlight w:val="none"/>
                <w:lang w:bidi="ar"/>
              </w:rPr>
              <w:t>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4</w:t>
            </w:r>
            <w:r>
              <w:rPr>
                <w:rFonts w:hint="eastAsia" w:asciiTheme="majorEastAsia" w:hAnsiTheme="majorEastAsia" w:eastAsiaTheme="majorEastAsia" w:cstheme="majorEastAsia"/>
                <w:b w:val="0"/>
                <w:bCs w:val="0"/>
                <w:snapToGrid w:val="0"/>
                <w:kern w:val="0"/>
                <w:sz w:val="24"/>
                <w:szCs w:val="24"/>
                <w:highlight w:val="none"/>
                <w:lang w:bidi="ar"/>
              </w:rPr>
              <w:t>项，共计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24</w:t>
            </w:r>
            <w:r>
              <w:rPr>
                <w:rFonts w:hint="eastAsia" w:asciiTheme="majorEastAsia" w:hAnsiTheme="majorEastAsia" w:eastAsiaTheme="majorEastAsia" w:cstheme="majorEastAsia"/>
                <w:b w:val="0"/>
                <w:bCs w:val="0"/>
                <w:snapToGrid w:val="0"/>
                <w:kern w:val="0"/>
                <w:sz w:val="24"/>
                <w:szCs w:val="24"/>
                <w:highlight w:val="none"/>
                <w:lang w:bidi="ar"/>
              </w:rPr>
              <w:t>分。</w:t>
            </w:r>
          </w:p>
          <w:p w14:paraId="24EED5A4">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highlight w:val="none"/>
                <w:lang w:bidi="ar"/>
              </w:rPr>
              <w:t>（3）非标注“▲”项和非标注</w:t>
            </w:r>
            <w:r>
              <w:rPr>
                <w:rFonts w:hint="eastAsia" w:asciiTheme="majorEastAsia" w:hAnsiTheme="majorEastAsia" w:eastAsiaTheme="majorEastAsia" w:cstheme="majorEastAsia"/>
                <w:b w:val="0"/>
                <w:bCs w:val="0"/>
                <w:snapToGrid w:val="0"/>
                <w:kern w:val="0"/>
                <w:sz w:val="24"/>
                <w:szCs w:val="24"/>
                <w:highlight w:val="none"/>
                <w:lang w:bidi="ar"/>
              </w:rPr>
              <w:t>“★”项的为一般性参数，共</w:t>
            </w:r>
            <w:r>
              <w:rPr>
                <w:rFonts w:hint="eastAsia" w:asciiTheme="majorEastAsia" w:hAnsiTheme="majorEastAsia" w:eastAsiaTheme="majorEastAsia" w:cstheme="majorEastAsia"/>
                <w:b w:val="0"/>
                <w:bCs w:val="0"/>
                <w:snapToGrid w:val="0"/>
                <w:kern w:val="0"/>
                <w:sz w:val="24"/>
                <w:szCs w:val="24"/>
                <w:highlight w:val="none"/>
                <w:lang w:val="en-US" w:eastAsia="zh-CN" w:bidi="ar"/>
              </w:rPr>
              <w:t>8</w:t>
            </w:r>
            <w:r>
              <w:rPr>
                <w:rFonts w:hint="eastAsia" w:asciiTheme="majorEastAsia" w:hAnsiTheme="majorEastAsia" w:eastAsiaTheme="majorEastAsia" w:cstheme="majorEastAsia"/>
                <w:b w:val="0"/>
                <w:bCs w:val="0"/>
                <w:snapToGrid w:val="0"/>
                <w:kern w:val="0"/>
                <w:sz w:val="24"/>
                <w:szCs w:val="24"/>
                <w:highlight w:val="none"/>
                <w:lang w:bidi="ar"/>
              </w:rPr>
              <w:t>项，每满足或优于一项指标要求得</w:t>
            </w:r>
            <w:r>
              <w:rPr>
                <w:rFonts w:hint="eastAsia" w:asciiTheme="majorEastAsia" w:hAnsiTheme="majorEastAsia" w:eastAsiaTheme="majorEastAsia" w:cstheme="majorEastAsia"/>
                <w:b w:val="0"/>
                <w:bCs w:val="0"/>
                <w:snapToGrid w:val="0"/>
                <w:kern w:val="0"/>
                <w:sz w:val="24"/>
                <w:szCs w:val="24"/>
                <w:highlight w:val="none"/>
                <w:lang w:val="en-US" w:eastAsia="zh-CN" w:bidi="ar"/>
              </w:rPr>
              <w:t>1</w:t>
            </w:r>
            <w:r>
              <w:rPr>
                <w:rFonts w:hint="eastAsia" w:asciiTheme="majorEastAsia" w:hAnsiTheme="majorEastAsia" w:eastAsiaTheme="majorEastAsia" w:cstheme="majorEastAsia"/>
                <w:b w:val="0"/>
                <w:bCs w:val="0"/>
                <w:snapToGrid w:val="0"/>
                <w:kern w:val="0"/>
                <w:sz w:val="24"/>
                <w:szCs w:val="24"/>
                <w:highlight w:val="none"/>
                <w:lang w:bidi="ar"/>
              </w:rPr>
              <w:t>分，负偏离不得分，共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8</w:t>
            </w:r>
            <w:r>
              <w:rPr>
                <w:rFonts w:hint="eastAsia" w:asciiTheme="majorEastAsia" w:hAnsiTheme="majorEastAsia" w:eastAsiaTheme="majorEastAsia" w:cstheme="majorEastAsia"/>
                <w:b w:val="0"/>
                <w:bCs w:val="0"/>
                <w:snapToGrid w:val="0"/>
                <w:kern w:val="0"/>
                <w:sz w:val="24"/>
                <w:szCs w:val="24"/>
                <w:highlight w:val="none"/>
                <w:lang w:bidi="ar"/>
              </w:rPr>
              <w:t>分。</w:t>
            </w:r>
          </w:p>
          <w:p w14:paraId="5FD14185">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注：（1）标“▲”</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524A8B49">
            <w:pPr>
              <w:keepNext w:val="0"/>
              <w:keepLines w:val="0"/>
              <w:numPr>
                <w:ilvl w:val="0"/>
                <w:numId w:val="1"/>
              </w:numPr>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5403C76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32</w:t>
            </w:r>
            <w:r>
              <w:rPr>
                <w:rFonts w:hint="eastAsia" w:asciiTheme="majorEastAsia" w:hAnsiTheme="majorEastAsia" w:eastAsiaTheme="majorEastAsia" w:cstheme="majorEastAsia"/>
                <w:b w:val="0"/>
                <w:bCs w:val="0"/>
                <w:sz w:val="24"/>
                <w:szCs w:val="24"/>
              </w:rPr>
              <w:t>分</w:t>
            </w:r>
          </w:p>
        </w:tc>
      </w:tr>
      <w:tr w14:paraId="00B5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continue"/>
            <w:tcBorders>
              <w:left w:val="single" w:color="auto" w:sz="4" w:space="0"/>
              <w:right w:val="single" w:color="auto" w:sz="4" w:space="0"/>
            </w:tcBorders>
            <w:vAlign w:val="center"/>
          </w:tcPr>
          <w:p w14:paraId="08D7EA8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1FBA4E4">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486" w:type="pct"/>
            <w:tcBorders>
              <w:top w:val="single" w:color="auto" w:sz="4" w:space="0"/>
              <w:left w:val="single" w:color="auto" w:sz="4" w:space="0"/>
              <w:bottom w:val="single" w:color="auto" w:sz="4" w:space="0"/>
              <w:right w:val="single" w:color="auto" w:sz="4" w:space="0"/>
            </w:tcBorders>
            <w:shd w:val="clear" w:color="auto" w:fill="auto"/>
          </w:tcPr>
          <w:p w14:paraId="1A9CA87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30B04233">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68ECA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1588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Merge w:val="continue"/>
            <w:tcBorders>
              <w:left w:val="single" w:color="auto" w:sz="4" w:space="0"/>
              <w:right w:val="single" w:color="auto" w:sz="4" w:space="0"/>
            </w:tcBorders>
            <w:vAlign w:val="center"/>
          </w:tcPr>
          <w:p w14:paraId="5BB3ECB2">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F1ADEC6">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项目实施方案、</w:t>
            </w:r>
            <w:r>
              <w:rPr>
                <w:rFonts w:hint="eastAsia" w:asciiTheme="majorEastAsia" w:hAnsiTheme="majorEastAsia" w:eastAsiaTheme="majorEastAsia" w:cstheme="majorEastAsia"/>
                <w:b w:val="0"/>
                <w:bCs w:val="0"/>
                <w:snapToGrid w:val="0"/>
                <w:kern w:val="0"/>
                <w:sz w:val="24"/>
                <w:szCs w:val="24"/>
                <w:lang w:bidi="ar"/>
              </w:rPr>
              <w:t>售后服务方案</w:t>
            </w:r>
            <w:r>
              <w:rPr>
                <w:rFonts w:hint="eastAsia" w:asciiTheme="majorEastAsia" w:hAnsiTheme="majorEastAsia" w:eastAsiaTheme="majorEastAsia" w:cstheme="majorEastAsia"/>
                <w:b w:val="0"/>
                <w:bCs w:val="0"/>
                <w:snapToGrid w:val="0"/>
                <w:kern w:val="0"/>
                <w:sz w:val="24"/>
                <w:szCs w:val="24"/>
                <w:lang w:val="en-US" w:eastAsia="zh-CN" w:bidi="ar"/>
              </w:rPr>
              <w:t>及</w:t>
            </w:r>
            <w:r>
              <w:rPr>
                <w:rFonts w:hint="eastAsia" w:asciiTheme="majorEastAsia" w:hAnsiTheme="majorEastAsia" w:eastAsiaTheme="majorEastAsia" w:cstheme="majorEastAsia"/>
                <w:b w:val="0"/>
                <w:bCs w:val="0"/>
                <w:snapToGrid w:val="0"/>
                <w:kern w:val="0"/>
                <w:sz w:val="24"/>
                <w:szCs w:val="24"/>
                <w:lang w:bidi="ar"/>
              </w:rPr>
              <w:t>故障应急处置预案</w:t>
            </w:r>
          </w:p>
        </w:tc>
        <w:tc>
          <w:tcPr>
            <w:tcW w:w="3486" w:type="pct"/>
            <w:tcBorders>
              <w:top w:val="single" w:color="auto" w:sz="4" w:space="0"/>
              <w:left w:val="single" w:color="auto" w:sz="4" w:space="0"/>
              <w:bottom w:val="single" w:color="auto" w:sz="4" w:space="0"/>
              <w:right w:val="single" w:color="auto" w:sz="4" w:space="0"/>
            </w:tcBorders>
            <w:shd w:val="clear" w:color="auto" w:fill="auto"/>
            <w:vAlign w:val="center"/>
          </w:tcPr>
          <w:p w14:paraId="44D7B6C1">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zh-TW" w:eastAsia="zh-CN"/>
              </w:rPr>
            </w:pPr>
            <w:r>
              <w:rPr>
                <w:rFonts w:hint="eastAsia" w:asciiTheme="majorEastAsia" w:hAnsiTheme="majorEastAsia" w:eastAsiaTheme="majorEastAsia" w:cstheme="majorEastAsia"/>
                <w:b w:val="0"/>
                <w:bCs w:val="0"/>
                <w:sz w:val="24"/>
                <w:szCs w:val="24"/>
                <w:lang w:val="zh-TW" w:eastAsia="zh-CN"/>
              </w:rPr>
              <w:t>在满足招标服务需求的前提下，投标人提供的</w:t>
            </w:r>
            <w:r>
              <w:rPr>
                <w:rFonts w:hint="eastAsia" w:asciiTheme="majorEastAsia" w:hAnsiTheme="majorEastAsia" w:eastAsiaTheme="majorEastAsia" w:cstheme="majorEastAsia"/>
                <w:b w:val="0"/>
                <w:bCs w:val="0"/>
                <w:sz w:val="24"/>
                <w:szCs w:val="24"/>
                <w:lang w:val="en-US" w:eastAsia="zh-CN"/>
              </w:rPr>
              <w:t>项目实施方案和售后服务方案，包括但不限于：项目实施方案、售后服务方案、故障应急处置预案等</w:t>
            </w:r>
            <w:r>
              <w:rPr>
                <w:rFonts w:hint="eastAsia" w:asciiTheme="majorEastAsia" w:hAnsiTheme="majorEastAsia" w:eastAsiaTheme="majorEastAsia" w:cstheme="majorEastAsia"/>
                <w:b w:val="0"/>
                <w:bCs w:val="0"/>
                <w:sz w:val="24"/>
                <w:szCs w:val="24"/>
                <w:lang w:val="zh-TW" w:eastAsia="zh-CN"/>
              </w:rPr>
              <w:t>。</w:t>
            </w:r>
          </w:p>
          <w:p w14:paraId="29F1E3B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由评标委员会进行评审：</w:t>
            </w:r>
          </w:p>
          <w:p w14:paraId="0D4F5F45">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（一）项目实施方案（8分）：</w:t>
            </w:r>
          </w:p>
          <w:p w14:paraId="5F63027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结合本项目特点，包含但不限于工作计划、工期安排、备品备件安排、人员配备等，依据技术标中项目方案进行综合评审： </w:t>
            </w:r>
          </w:p>
          <w:p w14:paraId="4E983F1D">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（1）项目方案思路清晰，方案具体详实，工作计划安排合理，工期符合采购需求，备品备件完备，人员安排充足，工作目标、内容和要求分析合理、全面的，得8分； </w:t>
            </w:r>
          </w:p>
          <w:p w14:paraId="4F22637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（2）项目方案思路完整，方案具体合理，工作计划安排能够满足采购需求，工期符合采购需求，备品备件完备，人员安排可以满足项目实施，工作目标、内容和要求分析合理未出现逻辑错误的得7分； </w:t>
            </w:r>
          </w:p>
          <w:p w14:paraId="7886126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（3）项目方案思路较完整，方案较具体合理，工作计划安排基本能够满足采购需求，工期基本符合采购需求，备品备件不缺失，人员安排较合理，基本满足项目实施的得6分；</w:t>
            </w:r>
          </w:p>
          <w:p w14:paraId="43363D0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（4）项目方案有待完善，工作计划安排有待优化，备品备件不足，人员安排有待优化，工作目标、内容和要求有待提升的得5分； </w:t>
            </w:r>
          </w:p>
          <w:p w14:paraId="294A0A5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（5）未提供的不得分。 </w:t>
            </w:r>
          </w:p>
          <w:p w14:paraId="1DCD738D">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（二）售后服务方案（8分）：</w:t>
            </w:r>
          </w:p>
          <w:p w14:paraId="067AA0D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根据售后服务管理制度、维保方式、维保内容、质保期满后的维保费用、时间保证、备品备件供应、售后人员配备等情况进行评分。    </w:t>
            </w:r>
          </w:p>
          <w:p w14:paraId="3C82BFE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（1）方案内容详实、表述清晰，售后服务管理制度完善，有具体切实可行的保障措施，售后人员配备充足、故障响应时间短，质保期满后的维保费用科学合理的，得8分；</w:t>
            </w:r>
          </w:p>
          <w:p w14:paraId="6D955C2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（2）内容完整、表述清晰，有保障措施，配备售后服务人员，维保费用较为合理的，没有逻辑性和常识性错误的得7分；</w:t>
            </w:r>
          </w:p>
          <w:p w14:paraId="3FAA4885">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（3）内容较完整、表述较清晰，保障措施不缺项，配备售后服务人员基本满足采购需求，维保费用不够合理的得6分；</w:t>
            </w:r>
          </w:p>
          <w:p w14:paraId="0AA317A0">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（4）内容简单有待补充，配备售后服务人员不能满足项目需求，且出现了与项目不相关的内容的得5分；</w:t>
            </w:r>
          </w:p>
          <w:p w14:paraId="4ED812CC">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（5）未提供不得分。</w:t>
            </w:r>
          </w:p>
          <w:p w14:paraId="72231CB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（三）故障应急处置预案（8分）：</w:t>
            </w:r>
          </w:p>
          <w:p w14:paraId="2C3B5D05">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结合本项目特点，依据技术标中的项目应急管理方案（包含但不限于对突发事件的预见性、处理措施、响应时间等）进行评审： </w:t>
            </w:r>
          </w:p>
          <w:p w14:paraId="6C01EE0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（1）对突发事件有较强的预见性，预案中职责全面，处理措施完善得当，响应及时的得8分； </w:t>
            </w:r>
          </w:p>
          <w:p w14:paraId="638D96F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（2）对突发事件有一定的预见性，预案中职责得当、措施合理，能够响应使用需求的得 7分； </w:t>
            </w:r>
          </w:p>
          <w:p w14:paraId="1D445F3C">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（3）对突发事件预见性不明确，针对性不强，方案内容完整不缺项，处理措施较得当，响应时间基本合理的得6分；</w:t>
            </w:r>
          </w:p>
          <w:p w14:paraId="1B567B2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 对突发事件预见性较弱，方案内容简单，处理措施有待加强，响应时间长的得5分</w:t>
            </w:r>
          </w:p>
          <w:p w14:paraId="541C455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（5）未提供的不得分。</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05B4BC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24</w:t>
            </w:r>
            <w:r>
              <w:rPr>
                <w:rFonts w:hint="eastAsia" w:asciiTheme="majorEastAsia" w:hAnsiTheme="majorEastAsia" w:eastAsiaTheme="majorEastAsia" w:cstheme="majorEastAsia"/>
                <w:b w:val="0"/>
                <w:bCs w:val="0"/>
                <w:sz w:val="24"/>
                <w:szCs w:val="24"/>
              </w:rPr>
              <w:t>分</w:t>
            </w:r>
          </w:p>
        </w:tc>
      </w:tr>
      <w:tr w14:paraId="0183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tcBorders>
              <w:left w:val="single" w:color="auto" w:sz="4" w:space="0"/>
              <w:right w:val="single" w:color="auto" w:sz="4" w:space="0"/>
            </w:tcBorders>
            <w:vAlign w:val="center"/>
          </w:tcPr>
          <w:p w14:paraId="105B767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7D39C67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w:t>
            </w:r>
          </w:p>
        </w:tc>
        <w:tc>
          <w:tcPr>
            <w:tcW w:w="4326" w:type="pct"/>
            <w:gridSpan w:val="3"/>
            <w:tcBorders>
              <w:top w:val="single" w:color="auto" w:sz="4" w:space="0"/>
              <w:left w:val="single" w:color="auto" w:sz="4" w:space="0"/>
              <w:bottom w:val="single" w:color="auto" w:sz="4" w:space="0"/>
              <w:right w:val="single" w:color="auto" w:sz="4" w:space="0"/>
            </w:tcBorders>
            <w:vAlign w:val="center"/>
          </w:tcPr>
          <w:p w14:paraId="72BD3B3A">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分。其他投标人的价格分统一按照下列公式计算：</w:t>
            </w:r>
          </w:p>
          <w:p w14:paraId="4229D984">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720" w:firstLineChars="3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DE11D8">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滁州市第二人民医院凝血分析仪采购项目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CZEY-2025013</w:t>
      </w:r>
      <w:r>
        <w:rPr>
          <w:rFonts w:hint="eastAsia" w:ascii="宋体" w:hAnsi="宋体" w:eastAsia="宋体" w:cs="宋体"/>
          <w:sz w:val="24"/>
          <w:szCs w:val="24"/>
          <w:highlight w:val="none"/>
          <w:u w:val="single"/>
        </w:rPr>
        <w:t xml:space="preserve"> </w:t>
      </w:r>
    </w:p>
    <w:p w14:paraId="69DCEF1D">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9"/>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3C9A94DB">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300210382"/>
      <w:bookmarkStart w:id="52" w:name="_Toc457768004"/>
      <w:bookmarkStart w:id="53" w:name="_Toc520299348"/>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OLE_LINK13"/>
      <w:bookmarkStart w:id="58" w:name="_Toc9573"/>
      <w:bookmarkStart w:id="59" w:name="OLE_LINK14"/>
      <w:bookmarkStart w:id="60" w:name="_Toc3124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18131"/>
      <w:bookmarkStart w:id="62" w:name="_Toc6435"/>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5555"/>
      <w:bookmarkStart w:id="64" w:name="_Toc28960"/>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6441"/>
      <w:bookmarkStart w:id="66" w:name="_Toc18010"/>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11940"/>
      <w:bookmarkStart w:id="70"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26836"/>
      <w:bookmarkStart w:id="82" w:name="_Toc9754"/>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C419C2-780B-4EC7-8916-F6031840B94A}"/>
  </w:font>
  <w:font w:name="Arial">
    <w:panose1 w:val="020B0604020202020204"/>
    <w:charset w:val="01"/>
    <w:family w:val="swiss"/>
    <w:pitch w:val="default"/>
    <w:sig w:usb0="E0002EFF" w:usb1="C000785B" w:usb2="00000009" w:usb3="00000000" w:csb0="400001FF" w:csb1="FFFF0000"/>
    <w:embedRegular r:id="rId2" w:fontKey="{A83BA904-3AD5-4BCF-9DE4-294046B7802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7E8302DD-2603-4C09-A2D0-2E8E8452675E}"/>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B4735D7E-A69E-4915-B37D-40D1EC4DDE12}"/>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7C176549-BAEC-4DBA-9A8F-E5C7D1EA2488}"/>
  </w:font>
  <w:font w:name="仿宋">
    <w:panose1 w:val="02010609060101010101"/>
    <w:charset w:val="86"/>
    <w:family w:val="modern"/>
    <w:pitch w:val="default"/>
    <w:sig w:usb0="800002BF" w:usb1="38CF7CFA" w:usb2="00000016" w:usb3="00000000" w:csb0="00040001" w:csb1="00000000"/>
    <w:embedRegular r:id="rId6" w:fontKey="{8434DAFE-EB84-4585-92D6-048EBCF7B7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881E4"/>
    <w:multiLevelType w:val="singleLevel"/>
    <w:tmpl w:val="BBA881E4"/>
    <w:lvl w:ilvl="0" w:tentative="0">
      <w:start w:val="2"/>
      <w:numFmt w:val="decimal"/>
      <w:suff w:val="nothing"/>
      <w:lvlText w:val="（%1）"/>
      <w:lvlJc w:val="left"/>
    </w:lvl>
  </w:abstractNum>
  <w:abstractNum w:abstractNumId="1">
    <w:nsid w:val="D2B000B9"/>
    <w:multiLevelType w:val="singleLevel"/>
    <w:tmpl w:val="D2B000B9"/>
    <w:lvl w:ilvl="0" w:tentative="0">
      <w:start w:val="1"/>
      <w:numFmt w:val="decimal"/>
      <w:suff w:val="nothing"/>
      <w:lvlText w:val="（%1）"/>
      <w:lvlJc w:val="left"/>
    </w:lvl>
  </w:abstractNum>
  <w:abstractNum w:abstractNumId="2">
    <w:nsid w:val="00000000"/>
    <w:multiLevelType w:val="singleLevel"/>
    <w:tmpl w:val="00000000"/>
    <w:lvl w:ilvl="0" w:tentative="0">
      <w:start w:val="16"/>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6"/>
      <w:numFmt w:val="decimal"/>
      <w:suff w:val="space"/>
      <w:lvlText w:val="%1."/>
      <w:lvlJc w:val="left"/>
    </w:lvl>
  </w:abstractNum>
  <w:abstractNum w:abstractNumId="5">
    <w:nsid w:val="00000003"/>
    <w:multiLevelType w:val="singleLevel"/>
    <w:tmpl w:val="00000003"/>
    <w:lvl w:ilvl="0" w:tentative="0">
      <w:start w:val="2"/>
      <w:numFmt w:val="decimal"/>
      <w:suff w:val="space"/>
      <w:lvlText w:val="%1."/>
      <w:lvlJc w:val="left"/>
    </w:lvl>
  </w:abstractNum>
  <w:abstractNum w:abstractNumId="6">
    <w:nsid w:val="00000004"/>
    <w:multiLevelType w:val="singleLevel"/>
    <w:tmpl w:val="00000004"/>
    <w:lvl w:ilvl="0" w:tentative="0">
      <w:start w:val="23"/>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
      <w:numFmt w:val="decimal"/>
      <w:suff w:val="space"/>
      <w:lvlText w:val="%1."/>
      <w:lvlJc w:val="left"/>
    </w:lvl>
  </w:abstractNum>
  <w:num w:numId="1">
    <w:abstractNumId w:val="0"/>
  </w:num>
  <w:num w:numId="2">
    <w:abstractNumId w:val="8"/>
  </w:num>
  <w:num w:numId="3">
    <w:abstractNumId w:val="3"/>
  </w:num>
  <w:num w:numId="4">
    <w:abstractNumId w:val="7"/>
  </w:num>
  <w:num w:numId="5">
    <w:abstractNumId w:val="5"/>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847DE1"/>
    <w:rsid w:val="009C512B"/>
    <w:rsid w:val="00B0507A"/>
    <w:rsid w:val="00DE5743"/>
    <w:rsid w:val="00EF16FF"/>
    <w:rsid w:val="01017684"/>
    <w:rsid w:val="01260E98"/>
    <w:rsid w:val="013730A5"/>
    <w:rsid w:val="01457570"/>
    <w:rsid w:val="014A4B87"/>
    <w:rsid w:val="017D4F5C"/>
    <w:rsid w:val="0180098F"/>
    <w:rsid w:val="01AA3877"/>
    <w:rsid w:val="01B3556A"/>
    <w:rsid w:val="01B83CAA"/>
    <w:rsid w:val="01BD35AB"/>
    <w:rsid w:val="01E25ABE"/>
    <w:rsid w:val="01E730A7"/>
    <w:rsid w:val="01E925F2"/>
    <w:rsid w:val="02144BFA"/>
    <w:rsid w:val="02404E4B"/>
    <w:rsid w:val="025E7D96"/>
    <w:rsid w:val="02686F3C"/>
    <w:rsid w:val="029640FE"/>
    <w:rsid w:val="02AF74E7"/>
    <w:rsid w:val="02BF15A4"/>
    <w:rsid w:val="02EB4148"/>
    <w:rsid w:val="03035935"/>
    <w:rsid w:val="03077138"/>
    <w:rsid w:val="034877EC"/>
    <w:rsid w:val="034D095E"/>
    <w:rsid w:val="03534B9D"/>
    <w:rsid w:val="03675AE6"/>
    <w:rsid w:val="037153A5"/>
    <w:rsid w:val="039E740C"/>
    <w:rsid w:val="03A82CAD"/>
    <w:rsid w:val="03BB7AB1"/>
    <w:rsid w:val="03D352ED"/>
    <w:rsid w:val="03DF1EFE"/>
    <w:rsid w:val="03F11C32"/>
    <w:rsid w:val="03FB03BA"/>
    <w:rsid w:val="04275653"/>
    <w:rsid w:val="043B6051"/>
    <w:rsid w:val="04463D2B"/>
    <w:rsid w:val="04936845"/>
    <w:rsid w:val="04986A1A"/>
    <w:rsid w:val="04B50EB1"/>
    <w:rsid w:val="04BD7D66"/>
    <w:rsid w:val="04DA2664"/>
    <w:rsid w:val="04DF5F2E"/>
    <w:rsid w:val="05213482"/>
    <w:rsid w:val="05377B18"/>
    <w:rsid w:val="05597A8E"/>
    <w:rsid w:val="055E6E53"/>
    <w:rsid w:val="05882122"/>
    <w:rsid w:val="058F34B0"/>
    <w:rsid w:val="05A6031B"/>
    <w:rsid w:val="05AA02EA"/>
    <w:rsid w:val="05B227CB"/>
    <w:rsid w:val="05B9052D"/>
    <w:rsid w:val="05DA343D"/>
    <w:rsid w:val="06494EFE"/>
    <w:rsid w:val="06606BFB"/>
    <w:rsid w:val="06691F53"/>
    <w:rsid w:val="06846D8D"/>
    <w:rsid w:val="06A967F3"/>
    <w:rsid w:val="06B43B46"/>
    <w:rsid w:val="06DC0977"/>
    <w:rsid w:val="076822F3"/>
    <w:rsid w:val="07E777BB"/>
    <w:rsid w:val="07EE6511"/>
    <w:rsid w:val="08297BEC"/>
    <w:rsid w:val="08387FA9"/>
    <w:rsid w:val="0870581B"/>
    <w:rsid w:val="08805F84"/>
    <w:rsid w:val="08966904"/>
    <w:rsid w:val="08DD2784"/>
    <w:rsid w:val="08E52849"/>
    <w:rsid w:val="08FD4BD5"/>
    <w:rsid w:val="090E228E"/>
    <w:rsid w:val="091D0DD3"/>
    <w:rsid w:val="092927EE"/>
    <w:rsid w:val="093305F6"/>
    <w:rsid w:val="094D16B8"/>
    <w:rsid w:val="094E3682"/>
    <w:rsid w:val="096963CD"/>
    <w:rsid w:val="096E162E"/>
    <w:rsid w:val="0983678C"/>
    <w:rsid w:val="09840E52"/>
    <w:rsid w:val="09B01C47"/>
    <w:rsid w:val="09BA51F2"/>
    <w:rsid w:val="09C33728"/>
    <w:rsid w:val="09D26E62"/>
    <w:rsid w:val="0A1B17B6"/>
    <w:rsid w:val="0A256191"/>
    <w:rsid w:val="0A314FFA"/>
    <w:rsid w:val="0A430D0D"/>
    <w:rsid w:val="0A4800D1"/>
    <w:rsid w:val="0A5E78F5"/>
    <w:rsid w:val="0A6749FB"/>
    <w:rsid w:val="0A79472F"/>
    <w:rsid w:val="0A9E0C56"/>
    <w:rsid w:val="0AB45767"/>
    <w:rsid w:val="0AC736EC"/>
    <w:rsid w:val="0B00275A"/>
    <w:rsid w:val="0B310B66"/>
    <w:rsid w:val="0B3626D0"/>
    <w:rsid w:val="0B46416C"/>
    <w:rsid w:val="0B5750F6"/>
    <w:rsid w:val="0B6E3B68"/>
    <w:rsid w:val="0B7D3DAB"/>
    <w:rsid w:val="0BA92DF2"/>
    <w:rsid w:val="0BD460C1"/>
    <w:rsid w:val="0BDA2FAB"/>
    <w:rsid w:val="0BF436E1"/>
    <w:rsid w:val="0BFE1B0E"/>
    <w:rsid w:val="0BFE313E"/>
    <w:rsid w:val="0C1C1816"/>
    <w:rsid w:val="0C201306"/>
    <w:rsid w:val="0C3B5902"/>
    <w:rsid w:val="0C5821E5"/>
    <w:rsid w:val="0C5B0590"/>
    <w:rsid w:val="0C9E222B"/>
    <w:rsid w:val="0CE560AB"/>
    <w:rsid w:val="0CEE6D0E"/>
    <w:rsid w:val="0CF54541"/>
    <w:rsid w:val="0D076022"/>
    <w:rsid w:val="0D2E35AF"/>
    <w:rsid w:val="0D2E7A52"/>
    <w:rsid w:val="0D564D5C"/>
    <w:rsid w:val="0D5A0848"/>
    <w:rsid w:val="0D6C5618"/>
    <w:rsid w:val="0D6E4DCD"/>
    <w:rsid w:val="0D7A4A46"/>
    <w:rsid w:val="0D870F11"/>
    <w:rsid w:val="0DB717F6"/>
    <w:rsid w:val="0DC83A03"/>
    <w:rsid w:val="0DF30D4B"/>
    <w:rsid w:val="0DFA5B87"/>
    <w:rsid w:val="0E097B78"/>
    <w:rsid w:val="0E0A401C"/>
    <w:rsid w:val="0E236E8B"/>
    <w:rsid w:val="0E2C21E4"/>
    <w:rsid w:val="0E7B6CC7"/>
    <w:rsid w:val="0E8F2773"/>
    <w:rsid w:val="0E9315ED"/>
    <w:rsid w:val="0EA31D7A"/>
    <w:rsid w:val="0EAD0785"/>
    <w:rsid w:val="0ED91C40"/>
    <w:rsid w:val="0EDE2DB2"/>
    <w:rsid w:val="0EEF6D6E"/>
    <w:rsid w:val="0F607C6B"/>
    <w:rsid w:val="0F692FC4"/>
    <w:rsid w:val="0F9D2C6D"/>
    <w:rsid w:val="0FA43FFC"/>
    <w:rsid w:val="0FBA381F"/>
    <w:rsid w:val="0FD536AF"/>
    <w:rsid w:val="0FED7751"/>
    <w:rsid w:val="0FFA1E6E"/>
    <w:rsid w:val="0FFA3C1C"/>
    <w:rsid w:val="0FFC1742"/>
    <w:rsid w:val="10026281"/>
    <w:rsid w:val="10207B26"/>
    <w:rsid w:val="109B7BB5"/>
    <w:rsid w:val="10B71B0D"/>
    <w:rsid w:val="10BB33AB"/>
    <w:rsid w:val="10C0771D"/>
    <w:rsid w:val="10E6007E"/>
    <w:rsid w:val="10FA5A47"/>
    <w:rsid w:val="11382C4E"/>
    <w:rsid w:val="11550BC8"/>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F9465F"/>
    <w:rsid w:val="130A061A"/>
    <w:rsid w:val="13207E3D"/>
    <w:rsid w:val="132818B7"/>
    <w:rsid w:val="133E6515"/>
    <w:rsid w:val="13693592"/>
    <w:rsid w:val="13712447"/>
    <w:rsid w:val="13733397"/>
    <w:rsid w:val="13765CAF"/>
    <w:rsid w:val="13DF5603"/>
    <w:rsid w:val="13E316E0"/>
    <w:rsid w:val="13ED41C3"/>
    <w:rsid w:val="13FA243C"/>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EC4007"/>
    <w:rsid w:val="1602382A"/>
    <w:rsid w:val="160C28FB"/>
    <w:rsid w:val="161146EA"/>
    <w:rsid w:val="162A1B44"/>
    <w:rsid w:val="16685D83"/>
    <w:rsid w:val="1672275E"/>
    <w:rsid w:val="16BC1C2B"/>
    <w:rsid w:val="17285513"/>
    <w:rsid w:val="172B6DB1"/>
    <w:rsid w:val="17371C20"/>
    <w:rsid w:val="17435EA8"/>
    <w:rsid w:val="17471E3D"/>
    <w:rsid w:val="177C760C"/>
    <w:rsid w:val="178564C1"/>
    <w:rsid w:val="17976BD3"/>
    <w:rsid w:val="17B80644"/>
    <w:rsid w:val="17E4768B"/>
    <w:rsid w:val="17F3167D"/>
    <w:rsid w:val="180970F2"/>
    <w:rsid w:val="18506ACF"/>
    <w:rsid w:val="185B5474"/>
    <w:rsid w:val="186D58D3"/>
    <w:rsid w:val="18737847"/>
    <w:rsid w:val="18814EDA"/>
    <w:rsid w:val="189C5D78"/>
    <w:rsid w:val="189E6C73"/>
    <w:rsid w:val="18D07033"/>
    <w:rsid w:val="18D524FF"/>
    <w:rsid w:val="18D71994"/>
    <w:rsid w:val="18DA7278"/>
    <w:rsid w:val="18E14395"/>
    <w:rsid w:val="18E35B95"/>
    <w:rsid w:val="18EB2C9C"/>
    <w:rsid w:val="190C483A"/>
    <w:rsid w:val="192D284D"/>
    <w:rsid w:val="1945415A"/>
    <w:rsid w:val="19481E9C"/>
    <w:rsid w:val="194A5652"/>
    <w:rsid w:val="195425EF"/>
    <w:rsid w:val="19874772"/>
    <w:rsid w:val="19BD0194"/>
    <w:rsid w:val="1A0A53A3"/>
    <w:rsid w:val="1A2A3350"/>
    <w:rsid w:val="1A5A1E87"/>
    <w:rsid w:val="1A8D5817"/>
    <w:rsid w:val="1AAE4346"/>
    <w:rsid w:val="1AF851FC"/>
    <w:rsid w:val="1B3A75C2"/>
    <w:rsid w:val="1B4A1593"/>
    <w:rsid w:val="1B4D379A"/>
    <w:rsid w:val="1B6610FC"/>
    <w:rsid w:val="1B762CF0"/>
    <w:rsid w:val="1B933CF4"/>
    <w:rsid w:val="1B9C202B"/>
    <w:rsid w:val="1BAD248A"/>
    <w:rsid w:val="1BC21F3A"/>
    <w:rsid w:val="1BE17132"/>
    <w:rsid w:val="1C1B2F7B"/>
    <w:rsid w:val="1C1B5646"/>
    <w:rsid w:val="1C1E610B"/>
    <w:rsid w:val="1C4A5F2B"/>
    <w:rsid w:val="1C8A6328"/>
    <w:rsid w:val="1C9F6277"/>
    <w:rsid w:val="1CB810E7"/>
    <w:rsid w:val="1CF53848"/>
    <w:rsid w:val="1D060A74"/>
    <w:rsid w:val="1D3D7B17"/>
    <w:rsid w:val="1D4B1E70"/>
    <w:rsid w:val="1D4D7A81"/>
    <w:rsid w:val="1D7C0366"/>
    <w:rsid w:val="1D9F104A"/>
    <w:rsid w:val="1DB23D88"/>
    <w:rsid w:val="1DDE4B7D"/>
    <w:rsid w:val="1DE008F5"/>
    <w:rsid w:val="1DE101C9"/>
    <w:rsid w:val="1E081BFA"/>
    <w:rsid w:val="1E083917"/>
    <w:rsid w:val="1E236A34"/>
    <w:rsid w:val="1E48649A"/>
    <w:rsid w:val="1E7554E1"/>
    <w:rsid w:val="1E96129B"/>
    <w:rsid w:val="1EC024D4"/>
    <w:rsid w:val="1ECC0E79"/>
    <w:rsid w:val="1EDB10BC"/>
    <w:rsid w:val="1EFA59E6"/>
    <w:rsid w:val="1F046865"/>
    <w:rsid w:val="1F1771BC"/>
    <w:rsid w:val="1F404002"/>
    <w:rsid w:val="1F4C0B6E"/>
    <w:rsid w:val="1F6D7F66"/>
    <w:rsid w:val="1FAD0CAB"/>
    <w:rsid w:val="1FCF6E73"/>
    <w:rsid w:val="1FDA1374"/>
    <w:rsid w:val="1FE22330"/>
    <w:rsid w:val="202A7DFC"/>
    <w:rsid w:val="204E5EB7"/>
    <w:rsid w:val="20586E69"/>
    <w:rsid w:val="20847881"/>
    <w:rsid w:val="20E63CC8"/>
    <w:rsid w:val="20EF2BFD"/>
    <w:rsid w:val="211D59BC"/>
    <w:rsid w:val="21325751"/>
    <w:rsid w:val="21374CD0"/>
    <w:rsid w:val="219E0F1F"/>
    <w:rsid w:val="21AB121A"/>
    <w:rsid w:val="21D00F87"/>
    <w:rsid w:val="21E03F02"/>
    <w:rsid w:val="22066450"/>
    <w:rsid w:val="22272617"/>
    <w:rsid w:val="22596EC8"/>
    <w:rsid w:val="2265586D"/>
    <w:rsid w:val="227D0E8E"/>
    <w:rsid w:val="22833F45"/>
    <w:rsid w:val="22A5210D"/>
    <w:rsid w:val="22E545B0"/>
    <w:rsid w:val="22E5535D"/>
    <w:rsid w:val="22EC1AEA"/>
    <w:rsid w:val="2302130E"/>
    <w:rsid w:val="232E3EB1"/>
    <w:rsid w:val="23360FB7"/>
    <w:rsid w:val="233A2855"/>
    <w:rsid w:val="23401B0E"/>
    <w:rsid w:val="234353D1"/>
    <w:rsid w:val="235D1F05"/>
    <w:rsid w:val="236264C6"/>
    <w:rsid w:val="237A5348"/>
    <w:rsid w:val="239E2206"/>
    <w:rsid w:val="23D9610A"/>
    <w:rsid w:val="23E568B3"/>
    <w:rsid w:val="23EB6A35"/>
    <w:rsid w:val="24013373"/>
    <w:rsid w:val="247B1377"/>
    <w:rsid w:val="249D12EE"/>
    <w:rsid w:val="24E011DB"/>
    <w:rsid w:val="24F9229C"/>
    <w:rsid w:val="252B16E4"/>
    <w:rsid w:val="25302162"/>
    <w:rsid w:val="2557002B"/>
    <w:rsid w:val="256736AA"/>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B01338"/>
    <w:rsid w:val="27E601D4"/>
    <w:rsid w:val="27FF4722"/>
    <w:rsid w:val="280A6664"/>
    <w:rsid w:val="281713B7"/>
    <w:rsid w:val="284D302B"/>
    <w:rsid w:val="2869172C"/>
    <w:rsid w:val="2883374E"/>
    <w:rsid w:val="288E0F4E"/>
    <w:rsid w:val="28CD4903"/>
    <w:rsid w:val="28F434A6"/>
    <w:rsid w:val="28FB3B69"/>
    <w:rsid w:val="28FD67FF"/>
    <w:rsid w:val="29080FCC"/>
    <w:rsid w:val="29096867"/>
    <w:rsid w:val="290A4A78"/>
    <w:rsid w:val="29663529"/>
    <w:rsid w:val="296D5007"/>
    <w:rsid w:val="297B3BC8"/>
    <w:rsid w:val="2987431B"/>
    <w:rsid w:val="29B13146"/>
    <w:rsid w:val="29E11C7D"/>
    <w:rsid w:val="29F43A2A"/>
    <w:rsid w:val="2A324774"/>
    <w:rsid w:val="2A6428AE"/>
    <w:rsid w:val="2A7A3E7F"/>
    <w:rsid w:val="2A8940C2"/>
    <w:rsid w:val="2B053749"/>
    <w:rsid w:val="2B2500DD"/>
    <w:rsid w:val="2B255B99"/>
    <w:rsid w:val="2B3109E2"/>
    <w:rsid w:val="2B391645"/>
    <w:rsid w:val="2B473D61"/>
    <w:rsid w:val="2B7F799F"/>
    <w:rsid w:val="2BB22ED5"/>
    <w:rsid w:val="2BC929C8"/>
    <w:rsid w:val="2BCB321D"/>
    <w:rsid w:val="2BD33847"/>
    <w:rsid w:val="2BFB2D9E"/>
    <w:rsid w:val="2BFF288E"/>
    <w:rsid w:val="2C0C4FAB"/>
    <w:rsid w:val="2C122E31"/>
    <w:rsid w:val="2C1527E6"/>
    <w:rsid w:val="2C626979"/>
    <w:rsid w:val="2C894F11"/>
    <w:rsid w:val="2CA451E4"/>
    <w:rsid w:val="2CB74F17"/>
    <w:rsid w:val="2CBC3334"/>
    <w:rsid w:val="2CCD0296"/>
    <w:rsid w:val="2D1C121E"/>
    <w:rsid w:val="2D35295B"/>
    <w:rsid w:val="2D572256"/>
    <w:rsid w:val="2D99286E"/>
    <w:rsid w:val="2DBD030B"/>
    <w:rsid w:val="2DC0604D"/>
    <w:rsid w:val="2DC53663"/>
    <w:rsid w:val="2DF919BD"/>
    <w:rsid w:val="2E1B7727"/>
    <w:rsid w:val="2E50117F"/>
    <w:rsid w:val="2E8B0409"/>
    <w:rsid w:val="2E9077CD"/>
    <w:rsid w:val="2EB060C2"/>
    <w:rsid w:val="2EC35DF5"/>
    <w:rsid w:val="2EF37D5C"/>
    <w:rsid w:val="2EF835C5"/>
    <w:rsid w:val="2EF91817"/>
    <w:rsid w:val="2F511653"/>
    <w:rsid w:val="2F8310E0"/>
    <w:rsid w:val="2F882B9B"/>
    <w:rsid w:val="2F9334A5"/>
    <w:rsid w:val="2F9652B7"/>
    <w:rsid w:val="2FB71D2D"/>
    <w:rsid w:val="2FCB375B"/>
    <w:rsid w:val="2FCC6F2B"/>
    <w:rsid w:val="2FF81ACE"/>
    <w:rsid w:val="30314FE0"/>
    <w:rsid w:val="30442B30"/>
    <w:rsid w:val="305331A8"/>
    <w:rsid w:val="305B3E0B"/>
    <w:rsid w:val="3085324C"/>
    <w:rsid w:val="309335A5"/>
    <w:rsid w:val="309612E7"/>
    <w:rsid w:val="30B874AF"/>
    <w:rsid w:val="30D31EF8"/>
    <w:rsid w:val="30E6401D"/>
    <w:rsid w:val="311A0999"/>
    <w:rsid w:val="311C3B05"/>
    <w:rsid w:val="31344D88"/>
    <w:rsid w:val="315301E3"/>
    <w:rsid w:val="3172568D"/>
    <w:rsid w:val="319475D5"/>
    <w:rsid w:val="31BB0E7C"/>
    <w:rsid w:val="31BB108F"/>
    <w:rsid w:val="31BE0AF5"/>
    <w:rsid w:val="320578B6"/>
    <w:rsid w:val="320E382B"/>
    <w:rsid w:val="322F37A1"/>
    <w:rsid w:val="3253123E"/>
    <w:rsid w:val="32534214"/>
    <w:rsid w:val="325A6415"/>
    <w:rsid w:val="326351F9"/>
    <w:rsid w:val="327A1535"/>
    <w:rsid w:val="329B2BE5"/>
    <w:rsid w:val="32A95302"/>
    <w:rsid w:val="32DF445D"/>
    <w:rsid w:val="32F040AA"/>
    <w:rsid w:val="32F12805"/>
    <w:rsid w:val="32F96543"/>
    <w:rsid w:val="330B4429"/>
    <w:rsid w:val="331D7A9E"/>
    <w:rsid w:val="3381002D"/>
    <w:rsid w:val="33A37FA3"/>
    <w:rsid w:val="33A81699"/>
    <w:rsid w:val="33B026C0"/>
    <w:rsid w:val="33CB5089"/>
    <w:rsid w:val="33D30EC6"/>
    <w:rsid w:val="3400694E"/>
    <w:rsid w:val="3417273F"/>
    <w:rsid w:val="341F137F"/>
    <w:rsid w:val="343B01DB"/>
    <w:rsid w:val="3463365C"/>
    <w:rsid w:val="348245D2"/>
    <w:rsid w:val="34A51AF9"/>
    <w:rsid w:val="34AA6624"/>
    <w:rsid w:val="34B00F04"/>
    <w:rsid w:val="34B32468"/>
    <w:rsid w:val="34C12DD7"/>
    <w:rsid w:val="34D15E0D"/>
    <w:rsid w:val="35006613"/>
    <w:rsid w:val="350902DA"/>
    <w:rsid w:val="351C1704"/>
    <w:rsid w:val="35441312"/>
    <w:rsid w:val="354B6B44"/>
    <w:rsid w:val="357316F6"/>
    <w:rsid w:val="35B538E8"/>
    <w:rsid w:val="35C918D1"/>
    <w:rsid w:val="35CF31EE"/>
    <w:rsid w:val="35D95EFE"/>
    <w:rsid w:val="36121410"/>
    <w:rsid w:val="36176A26"/>
    <w:rsid w:val="363C023B"/>
    <w:rsid w:val="368F7018"/>
    <w:rsid w:val="36A466B6"/>
    <w:rsid w:val="36B67168"/>
    <w:rsid w:val="36C00E6C"/>
    <w:rsid w:val="37066F38"/>
    <w:rsid w:val="37147EBE"/>
    <w:rsid w:val="3736112E"/>
    <w:rsid w:val="37695060"/>
    <w:rsid w:val="377320FF"/>
    <w:rsid w:val="377A101B"/>
    <w:rsid w:val="379530C6"/>
    <w:rsid w:val="37B06E98"/>
    <w:rsid w:val="37CE75B8"/>
    <w:rsid w:val="37DF3574"/>
    <w:rsid w:val="38082ACA"/>
    <w:rsid w:val="3846585A"/>
    <w:rsid w:val="388D19F8"/>
    <w:rsid w:val="38995E18"/>
    <w:rsid w:val="38B874ED"/>
    <w:rsid w:val="38C904AC"/>
    <w:rsid w:val="38CC3AF8"/>
    <w:rsid w:val="39094D4C"/>
    <w:rsid w:val="39334707"/>
    <w:rsid w:val="3959299B"/>
    <w:rsid w:val="3971469F"/>
    <w:rsid w:val="39A95BE7"/>
    <w:rsid w:val="39B0341A"/>
    <w:rsid w:val="39B60304"/>
    <w:rsid w:val="39B85EA1"/>
    <w:rsid w:val="39BD0A5B"/>
    <w:rsid w:val="39E11825"/>
    <w:rsid w:val="3A074661"/>
    <w:rsid w:val="3A451DB4"/>
    <w:rsid w:val="3A4F77A4"/>
    <w:rsid w:val="3A6A67D9"/>
    <w:rsid w:val="3A881CA1"/>
    <w:rsid w:val="3AAF547F"/>
    <w:rsid w:val="3AC47771"/>
    <w:rsid w:val="3AD42514"/>
    <w:rsid w:val="3AE25855"/>
    <w:rsid w:val="3AF45588"/>
    <w:rsid w:val="3B00217F"/>
    <w:rsid w:val="3B561D9F"/>
    <w:rsid w:val="3B5B7B12"/>
    <w:rsid w:val="3B694A1D"/>
    <w:rsid w:val="3B7010B2"/>
    <w:rsid w:val="3B8B3D12"/>
    <w:rsid w:val="3B9A7EDD"/>
    <w:rsid w:val="3BA725FA"/>
    <w:rsid w:val="3BC136BC"/>
    <w:rsid w:val="3BD50179"/>
    <w:rsid w:val="3C033CD5"/>
    <w:rsid w:val="3C0E4427"/>
    <w:rsid w:val="3C17152E"/>
    <w:rsid w:val="3C3E2F5F"/>
    <w:rsid w:val="3C601127"/>
    <w:rsid w:val="3C7B66FC"/>
    <w:rsid w:val="3C853690"/>
    <w:rsid w:val="3C885F88"/>
    <w:rsid w:val="3CDE204C"/>
    <w:rsid w:val="3D05582A"/>
    <w:rsid w:val="3D202664"/>
    <w:rsid w:val="3D264775"/>
    <w:rsid w:val="3D5D11C3"/>
    <w:rsid w:val="3D605157"/>
    <w:rsid w:val="3D644B60"/>
    <w:rsid w:val="3D762284"/>
    <w:rsid w:val="3D7704B3"/>
    <w:rsid w:val="3D8C4692"/>
    <w:rsid w:val="3D933161"/>
    <w:rsid w:val="3DA2751D"/>
    <w:rsid w:val="3E0C379A"/>
    <w:rsid w:val="3E1F0B6E"/>
    <w:rsid w:val="3E410AE4"/>
    <w:rsid w:val="3E497999"/>
    <w:rsid w:val="3E5E3444"/>
    <w:rsid w:val="3E646581"/>
    <w:rsid w:val="3E900306"/>
    <w:rsid w:val="3EB66F78"/>
    <w:rsid w:val="3EE6343A"/>
    <w:rsid w:val="3F0D6C18"/>
    <w:rsid w:val="3F161F71"/>
    <w:rsid w:val="3F3D42AB"/>
    <w:rsid w:val="3F47212A"/>
    <w:rsid w:val="3F566811"/>
    <w:rsid w:val="3F5E56C6"/>
    <w:rsid w:val="3F8A0269"/>
    <w:rsid w:val="3F9F1F66"/>
    <w:rsid w:val="3FAA090B"/>
    <w:rsid w:val="3FD37E62"/>
    <w:rsid w:val="3FFE7DA2"/>
    <w:rsid w:val="4044666A"/>
    <w:rsid w:val="406712EA"/>
    <w:rsid w:val="406D3E12"/>
    <w:rsid w:val="408D0011"/>
    <w:rsid w:val="40D26D7E"/>
    <w:rsid w:val="40DF6392"/>
    <w:rsid w:val="40F9220A"/>
    <w:rsid w:val="41462BC1"/>
    <w:rsid w:val="41674009"/>
    <w:rsid w:val="41846EB2"/>
    <w:rsid w:val="41894C7C"/>
    <w:rsid w:val="41913B31"/>
    <w:rsid w:val="419D4283"/>
    <w:rsid w:val="419E3311"/>
    <w:rsid w:val="41EB21B8"/>
    <w:rsid w:val="421E223B"/>
    <w:rsid w:val="422B7AE1"/>
    <w:rsid w:val="422C3859"/>
    <w:rsid w:val="423A5D78"/>
    <w:rsid w:val="426B1F2F"/>
    <w:rsid w:val="42AA2522"/>
    <w:rsid w:val="43244531"/>
    <w:rsid w:val="43655275"/>
    <w:rsid w:val="43784FA8"/>
    <w:rsid w:val="43856243"/>
    <w:rsid w:val="43903CDF"/>
    <w:rsid w:val="4391606A"/>
    <w:rsid w:val="439B47F3"/>
    <w:rsid w:val="439C3B9D"/>
    <w:rsid w:val="43B35FE0"/>
    <w:rsid w:val="43E07893"/>
    <w:rsid w:val="43E17924"/>
    <w:rsid w:val="443864E5"/>
    <w:rsid w:val="44615A3C"/>
    <w:rsid w:val="446B5CB5"/>
    <w:rsid w:val="449A3D36"/>
    <w:rsid w:val="44A616A1"/>
    <w:rsid w:val="44F56185"/>
    <w:rsid w:val="44FF34A7"/>
    <w:rsid w:val="45216F7A"/>
    <w:rsid w:val="452F5B3A"/>
    <w:rsid w:val="45392515"/>
    <w:rsid w:val="45455285"/>
    <w:rsid w:val="45494E2C"/>
    <w:rsid w:val="455E3D2A"/>
    <w:rsid w:val="457810EA"/>
    <w:rsid w:val="457B0D80"/>
    <w:rsid w:val="45A57BAB"/>
    <w:rsid w:val="45A858ED"/>
    <w:rsid w:val="45AA51C1"/>
    <w:rsid w:val="45B1505C"/>
    <w:rsid w:val="45C2075D"/>
    <w:rsid w:val="45CA5863"/>
    <w:rsid w:val="45F20916"/>
    <w:rsid w:val="460074D7"/>
    <w:rsid w:val="460912BA"/>
    <w:rsid w:val="46297A13"/>
    <w:rsid w:val="46517D32"/>
    <w:rsid w:val="4689127A"/>
    <w:rsid w:val="46911D1D"/>
    <w:rsid w:val="46D5626E"/>
    <w:rsid w:val="46E55481"/>
    <w:rsid w:val="47064679"/>
    <w:rsid w:val="470B1C8F"/>
    <w:rsid w:val="471F1BDF"/>
    <w:rsid w:val="4723522B"/>
    <w:rsid w:val="47306EFC"/>
    <w:rsid w:val="473C453F"/>
    <w:rsid w:val="47523D62"/>
    <w:rsid w:val="47540F19"/>
    <w:rsid w:val="47857C94"/>
    <w:rsid w:val="47A125F4"/>
    <w:rsid w:val="47E50732"/>
    <w:rsid w:val="47E56984"/>
    <w:rsid w:val="47E81FD1"/>
    <w:rsid w:val="47FC782A"/>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17862"/>
    <w:rsid w:val="49F64E79"/>
    <w:rsid w:val="4A162E25"/>
    <w:rsid w:val="4A2F2482"/>
    <w:rsid w:val="4A531BFE"/>
    <w:rsid w:val="4AC51E5D"/>
    <w:rsid w:val="4ACF1226"/>
    <w:rsid w:val="4AF3565B"/>
    <w:rsid w:val="4B076EEB"/>
    <w:rsid w:val="4B1530DD"/>
    <w:rsid w:val="4B3A0D95"/>
    <w:rsid w:val="4B4C0B1A"/>
    <w:rsid w:val="4B964046"/>
    <w:rsid w:val="4BB016BF"/>
    <w:rsid w:val="4BB41A6E"/>
    <w:rsid w:val="4BD40E87"/>
    <w:rsid w:val="4C0D2006"/>
    <w:rsid w:val="4C150C6C"/>
    <w:rsid w:val="4C2B0BB7"/>
    <w:rsid w:val="4C4023DB"/>
    <w:rsid w:val="4C4D4AF8"/>
    <w:rsid w:val="4C6D0CF6"/>
    <w:rsid w:val="4CBB4158"/>
    <w:rsid w:val="4CBB5F06"/>
    <w:rsid w:val="4CCF375F"/>
    <w:rsid w:val="4CE03BBE"/>
    <w:rsid w:val="4CE27936"/>
    <w:rsid w:val="4CFB48EC"/>
    <w:rsid w:val="4D297313"/>
    <w:rsid w:val="4D573E80"/>
    <w:rsid w:val="4D6C7200"/>
    <w:rsid w:val="4D7049C3"/>
    <w:rsid w:val="4D907392"/>
    <w:rsid w:val="4DD7388E"/>
    <w:rsid w:val="4DFC6FAF"/>
    <w:rsid w:val="4E157897"/>
    <w:rsid w:val="4E324336"/>
    <w:rsid w:val="4E52289A"/>
    <w:rsid w:val="4E5877A0"/>
    <w:rsid w:val="4E604FB7"/>
    <w:rsid w:val="4E675DBB"/>
    <w:rsid w:val="4E712D20"/>
    <w:rsid w:val="4E881E17"/>
    <w:rsid w:val="4EBB043F"/>
    <w:rsid w:val="4EE03A01"/>
    <w:rsid w:val="4EE63D45"/>
    <w:rsid w:val="4EFB4CDF"/>
    <w:rsid w:val="4F5368C9"/>
    <w:rsid w:val="4F543AE0"/>
    <w:rsid w:val="4F786330"/>
    <w:rsid w:val="4F842056"/>
    <w:rsid w:val="4F8D1DDB"/>
    <w:rsid w:val="4F8E345D"/>
    <w:rsid w:val="4F8F45D1"/>
    <w:rsid w:val="4FBD4D5E"/>
    <w:rsid w:val="4FE47521"/>
    <w:rsid w:val="4FF9121F"/>
    <w:rsid w:val="4FFC0517"/>
    <w:rsid w:val="507408A5"/>
    <w:rsid w:val="50812FC2"/>
    <w:rsid w:val="508A1E77"/>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1FB0B52"/>
    <w:rsid w:val="52024883"/>
    <w:rsid w:val="520E2096"/>
    <w:rsid w:val="521C5BFD"/>
    <w:rsid w:val="521F1B5F"/>
    <w:rsid w:val="52232583"/>
    <w:rsid w:val="523A5B1F"/>
    <w:rsid w:val="52483D98"/>
    <w:rsid w:val="525C3EFB"/>
    <w:rsid w:val="5268443A"/>
    <w:rsid w:val="526D2AE1"/>
    <w:rsid w:val="5294522F"/>
    <w:rsid w:val="52C378C2"/>
    <w:rsid w:val="52D61080"/>
    <w:rsid w:val="52EF06B7"/>
    <w:rsid w:val="52F60BC6"/>
    <w:rsid w:val="52FC2DD4"/>
    <w:rsid w:val="530028C4"/>
    <w:rsid w:val="530B18F6"/>
    <w:rsid w:val="532760A3"/>
    <w:rsid w:val="5355153C"/>
    <w:rsid w:val="53780C68"/>
    <w:rsid w:val="53F57F4F"/>
    <w:rsid w:val="53FC2850"/>
    <w:rsid w:val="54192CA4"/>
    <w:rsid w:val="545B7804"/>
    <w:rsid w:val="54857525"/>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9317CE"/>
    <w:rsid w:val="55B55BE8"/>
    <w:rsid w:val="55C45E2B"/>
    <w:rsid w:val="55F33CC5"/>
    <w:rsid w:val="56075D18"/>
    <w:rsid w:val="56204D1B"/>
    <w:rsid w:val="564E7DEA"/>
    <w:rsid w:val="565020BD"/>
    <w:rsid w:val="56666EE2"/>
    <w:rsid w:val="56837A94"/>
    <w:rsid w:val="569A4DDE"/>
    <w:rsid w:val="56A47A0A"/>
    <w:rsid w:val="56AA5540"/>
    <w:rsid w:val="56BA722E"/>
    <w:rsid w:val="56E10C5F"/>
    <w:rsid w:val="573050F9"/>
    <w:rsid w:val="576469B4"/>
    <w:rsid w:val="577A1924"/>
    <w:rsid w:val="57945CD1"/>
    <w:rsid w:val="57B11E20"/>
    <w:rsid w:val="57B36733"/>
    <w:rsid w:val="57BE68AA"/>
    <w:rsid w:val="57E07301"/>
    <w:rsid w:val="57FD5624"/>
    <w:rsid w:val="580C1D0B"/>
    <w:rsid w:val="5853793A"/>
    <w:rsid w:val="585F6F22"/>
    <w:rsid w:val="587578B0"/>
    <w:rsid w:val="58A22362"/>
    <w:rsid w:val="58B24661"/>
    <w:rsid w:val="58CD434A"/>
    <w:rsid w:val="58D72319"/>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820063"/>
    <w:rsid w:val="5A8738CB"/>
    <w:rsid w:val="5A9A2114"/>
    <w:rsid w:val="5AB126F6"/>
    <w:rsid w:val="5AC02939"/>
    <w:rsid w:val="5ACB37B8"/>
    <w:rsid w:val="5ACC7530"/>
    <w:rsid w:val="5ADD173D"/>
    <w:rsid w:val="5B0B1E06"/>
    <w:rsid w:val="5B286E5C"/>
    <w:rsid w:val="5B4F74CF"/>
    <w:rsid w:val="5B55190F"/>
    <w:rsid w:val="5B5C4D58"/>
    <w:rsid w:val="5BA81D4B"/>
    <w:rsid w:val="5BD41E0C"/>
    <w:rsid w:val="5BDF1B04"/>
    <w:rsid w:val="5BE32D83"/>
    <w:rsid w:val="5BF31218"/>
    <w:rsid w:val="5BF76B9A"/>
    <w:rsid w:val="5BFC5BF3"/>
    <w:rsid w:val="5C07081F"/>
    <w:rsid w:val="5C441A74"/>
    <w:rsid w:val="5C45759A"/>
    <w:rsid w:val="5CA93FCD"/>
    <w:rsid w:val="5CD64696"/>
    <w:rsid w:val="5CED210B"/>
    <w:rsid w:val="5CEE378D"/>
    <w:rsid w:val="5CFE60C6"/>
    <w:rsid w:val="5D047455"/>
    <w:rsid w:val="5D1E09AC"/>
    <w:rsid w:val="5D3C274B"/>
    <w:rsid w:val="5D42488D"/>
    <w:rsid w:val="5D4930BA"/>
    <w:rsid w:val="5D9E6F62"/>
    <w:rsid w:val="5DAE78AC"/>
    <w:rsid w:val="5DB03139"/>
    <w:rsid w:val="5DC50992"/>
    <w:rsid w:val="5DC56BE4"/>
    <w:rsid w:val="5DCC7F73"/>
    <w:rsid w:val="5DD52A57"/>
    <w:rsid w:val="5DFB5069"/>
    <w:rsid w:val="5E08087F"/>
    <w:rsid w:val="5E091947"/>
    <w:rsid w:val="5E203E1A"/>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7E588E"/>
    <w:rsid w:val="60813C60"/>
    <w:rsid w:val="60A70823"/>
    <w:rsid w:val="60DA0BF8"/>
    <w:rsid w:val="60E27AAD"/>
    <w:rsid w:val="60F90953"/>
    <w:rsid w:val="60FA51E3"/>
    <w:rsid w:val="6111492D"/>
    <w:rsid w:val="611539DF"/>
    <w:rsid w:val="617A5F38"/>
    <w:rsid w:val="617B03EF"/>
    <w:rsid w:val="6189617B"/>
    <w:rsid w:val="61B51583"/>
    <w:rsid w:val="61D46475"/>
    <w:rsid w:val="61E84BD9"/>
    <w:rsid w:val="623E0D13"/>
    <w:rsid w:val="623F0207"/>
    <w:rsid w:val="62402CDD"/>
    <w:rsid w:val="624432E1"/>
    <w:rsid w:val="626915E4"/>
    <w:rsid w:val="628232F6"/>
    <w:rsid w:val="629152E7"/>
    <w:rsid w:val="62976675"/>
    <w:rsid w:val="629E0205"/>
    <w:rsid w:val="62AD7C47"/>
    <w:rsid w:val="62CF5E0F"/>
    <w:rsid w:val="62EA2C49"/>
    <w:rsid w:val="62ED5038"/>
    <w:rsid w:val="631127C2"/>
    <w:rsid w:val="631942AE"/>
    <w:rsid w:val="631E0604"/>
    <w:rsid w:val="63387E58"/>
    <w:rsid w:val="633A772C"/>
    <w:rsid w:val="63650337"/>
    <w:rsid w:val="63770981"/>
    <w:rsid w:val="638E799C"/>
    <w:rsid w:val="63957059"/>
    <w:rsid w:val="639D0223"/>
    <w:rsid w:val="63B14A74"/>
    <w:rsid w:val="63B85697"/>
    <w:rsid w:val="63FA3360"/>
    <w:rsid w:val="641309B4"/>
    <w:rsid w:val="64236413"/>
    <w:rsid w:val="6445282D"/>
    <w:rsid w:val="64485E79"/>
    <w:rsid w:val="646F2D60"/>
    <w:rsid w:val="6481138B"/>
    <w:rsid w:val="64A137DB"/>
    <w:rsid w:val="64B60849"/>
    <w:rsid w:val="64DC3505"/>
    <w:rsid w:val="64F16511"/>
    <w:rsid w:val="65420B1A"/>
    <w:rsid w:val="656A02C9"/>
    <w:rsid w:val="658F5CE7"/>
    <w:rsid w:val="65B65064"/>
    <w:rsid w:val="65C6174B"/>
    <w:rsid w:val="65E87914"/>
    <w:rsid w:val="65F30067"/>
    <w:rsid w:val="66106E6A"/>
    <w:rsid w:val="66173D55"/>
    <w:rsid w:val="663E7D2D"/>
    <w:rsid w:val="666A657B"/>
    <w:rsid w:val="66A72C8A"/>
    <w:rsid w:val="66AA4BC9"/>
    <w:rsid w:val="66C20165"/>
    <w:rsid w:val="672D1356"/>
    <w:rsid w:val="67A27F96"/>
    <w:rsid w:val="67CE6F5C"/>
    <w:rsid w:val="67E214A2"/>
    <w:rsid w:val="67FB3025"/>
    <w:rsid w:val="67FD1E64"/>
    <w:rsid w:val="6813679E"/>
    <w:rsid w:val="685B7E50"/>
    <w:rsid w:val="68662D72"/>
    <w:rsid w:val="68682BEF"/>
    <w:rsid w:val="68694610"/>
    <w:rsid w:val="686B65DA"/>
    <w:rsid w:val="6888718C"/>
    <w:rsid w:val="689C49E5"/>
    <w:rsid w:val="68C83A2C"/>
    <w:rsid w:val="68E31F3D"/>
    <w:rsid w:val="68FE11FC"/>
    <w:rsid w:val="693D7F76"/>
    <w:rsid w:val="697A2F79"/>
    <w:rsid w:val="698A2A90"/>
    <w:rsid w:val="69935DE8"/>
    <w:rsid w:val="69A27DD9"/>
    <w:rsid w:val="69C75A92"/>
    <w:rsid w:val="69DA1D9A"/>
    <w:rsid w:val="69FF790C"/>
    <w:rsid w:val="6A366774"/>
    <w:rsid w:val="6A3C283D"/>
    <w:rsid w:val="6A4175F2"/>
    <w:rsid w:val="6A7B2ACF"/>
    <w:rsid w:val="6ABC311D"/>
    <w:rsid w:val="6AC717A6"/>
    <w:rsid w:val="6AF74155"/>
    <w:rsid w:val="6B113469"/>
    <w:rsid w:val="6B1B388E"/>
    <w:rsid w:val="6B2D7B77"/>
    <w:rsid w:val="6B3D1532"/>
    <w:rsid w:val="6B6317EA"/>
    <w:rsid w:val="6B985938"/>
    <w:rsid w:val="6BE75F78"/>
    <w:rsid w:val="6C262F44"/>
    <w:rsid w:val="6C4B5B80"/>
    <w:rsid w:val="6CA4030D"/>
    <w:rsid w:val="6CA65E33"/>
    <w:rsid w:val="6CB313A0"/>
    <w:rsid w:val="6CE34991"/>
    <w:rsid w:val="6D1763FC"/>
    <w:rsid w:val="6D316241"/>
    <w:rsid w:val="6D6F34FA"/>
    <w:rsid w:val="6D7101EF"/>
    <w:rsid w:val="6D851EEC"/>
    <w:rsid w:val="6D8F68C7"/>
    <w:rsid w:val="6DAF0D17"/>
    <w:rsid w:val="6DDF5B5A"/>
    <w:rsid w:val="6E565636"/>
    <w:rsid w:val="6EA047B7"/>
    <w:rsid w:val="6EA6036C"/>
    <w:rsid w:val="6EA86918"/>
    <w:rsid w:val="6EB03039"/>
    <w:rsid w:val="6EB44436"/>
    <w:rsid w:val="6EE175F6"/>
    <w:rsid w:val="6EE3336E"/>
    <w:rsid w:val="6F0155A2"/>
    <w:rsid w:val="6F157D87"/>
    <w:rsid w:val="6F35524C"/>
    <w:rsid w:val="6F607BC9"/>
    <w:rsid w:val="6F6607E6"/>
    <w:rsid w:val="6F7A7103"/>
    <w:rsid w:val="6F8F7052"/>
    <w:rsid w:val="6FBE3493"/>
    <w:rsid w:val="6FC50C59"/>
    <w:rsid w:val="6FCD12F8"/>
    <w:rsid w:val="6FD1766A"/>
    <w:rsid w:val="6FD607DD"/>
    <w:rsid w:val="6FDB4045"/>
    <w:rsid w:val="6FFF2342"/>
    <w:rsid w:val="700A0487"/>
    <w:rsid w:val="70412B49"/>
    <w:rsid w:val="70441BEA"/>
    <w:rsid w:val="70A50A55"/>
    <w:rsid w:val="70AF2E01"/>
    <w:rsid w:val="70EB650A"/>
    <w:rsid w:val="71245BFC"/>
    <w:rsid w:val="71D260B4"/>
    <w:rsid w:val="71ED1E0E"/>
    <w:rsid w:val="722E00BF"/>
    <w:rsid w:val="722F68CA"/>
    <w:rsid w:val="723D2D95"/>
    <w:rsid w:val="723F4D5F"/>
    <w:rsid w:val="725134A0"/>
    <w:rsid w:val="72514A93"/>
    <w:rsid w:val="725A3947"/>
    <w:rsid w:val="72C74D55"/>
    <w:rsid w:val="72D1172F"/>
    <w:rsid w:val="72D66D46"/>
    <w:rsid w:val="72F14819"/>
    <w:rsid w:val="7318110C"/>
    <w:rsid w:val="731C6E4F"/>
    <w:rsid w:val="73216213"/>
    <w:rsid w:val="733E234E"/>
    <w:rsid w:val="734B7734"/>
    <w:rsid w:val="73552361"/>
    <w:rsid w:val="73584C2C"/>
    <w:rsid w:val="73610D05"/>
    <w:rsid w:val="737C5B3F"/>
    <w:rsid w:val="73C52B0E"/>
    <w:rsid w:val="73D03795"/>
    <w:rsid w:val="73E3796C"/>
    <w:rsid w:val="73E7745D"/>
    <w:rsid w:val="73EF00BF"/>
    <w:rsid w:val="73FC458A"/>
    <w:rsid w:val="740D2C6D"/>
    <w:rsid w:val="74363F40"/>
    <w:rsid w:val="74485A21"/>
    <w:rsid w:val="745B5755"/>
    <w:rsid w:val="746740F9"/>
    <w:rsid w:val="7487654A"/>
    <w:rsid w:val="74886692"/>
    <w:rsid w:val="74D80B53"/>
    <w:rsid w:val="74EB4D2A"/>
    <w:rsid w:val="751002ED"/>
    <w:rsid w:val="75105270"/>
    <w:rsid w:val="7554492F"/>
    <w:rsid w:val="756920F3"/>
    <w:rsid w:val="756B5E6B"/>
    <w:rsid w:val="75C37A55"/>
    <w:rsid w:val="75F45E61"/>
    <w:rsid w:val="75F83468"/>
    <w:rsid w:val="75FB7FE4"/>
    <w:rsid w:val="76022D28"/>
    <w:rsid w:val="765D3A06"/>
    <w:rsid w:val="766E0BFE"/>
    <w:rsid w:val="76852C06"/>
    <w:rsid w:val="7686785D"/>
    <w:rsid w:val="768865A9"/>
    <w:rsid w:val="76DD5829"/>
    <w:rsid w:val="77130569"/>
    <w:rsid w:val="77690189"/>
    <w:rsid w:val="778A7C8B"/>
    <w:rsid w:val="77995C9A"/>
    <w:rsid w:val="779C67B0"/>
    <w:rsid w:val="779D01FC"/>
    <w:rsid w:val="77A13DC6"/>
    <w:rsid w:val="77AF64E3"/>
    <w:rsid w:val="77C16217"/>
    <w:rsid w:val="77FE6B23"/>
    <w:rsid w:val="78250553"/>
    <w:rsid w:val="78393FFF"/>
    <w:rsid w:val="78454752"/>
    <w:rsid w:val="786365E0"/>
    <w:rsid w:val="788F1E71"/>
    <w:rsid w:val="78931961"/>
    <w:rsid w:val="78A21D8D"/>
    <w:rsid w:val="78AE3973"/>
    <w:rsid w:val="78D8504A"/>
    <w:rsid w:val="79050385"/>
    <w:rsid w:val="791F31F5"/>
    <w:rsid w:val="7936053E"/>
    <w:rsid w:val="79554E68"/>
    <w:rsid w:val="79951709"/>
    <w:rsid w:val="79975481"/>
    <w:rsid w:val="79CB0C87"/>
    <w:rsid w:val="79E24222"/>
    <w:rsid w:val="79FC1788"/>
    <w:rsid w:val="7A4D1FE3"/>
    <w:rsid w:val="7A5944E4"/>
    <w:rsid w:val="7A7C39B1"/>
    <w:rsid w:val="7A85352B"/>
    <w:rsid w:val="7A9814B1"/>
    <w:rsid w:val="7AA26AD8"/>
    <w:rsid w:val="7ACA7190"/>
    <w:rsid w:val="7B0B276E"/>
    <w:rsid w:val="7B2E5971"/>
    <w:rsid w:val="7B326A71"/>
    <w:rsid w:val="7B3A1A33"/>
    <w:rsid w:val="7B8330AA"/>
    <w:rsid w:val="7B9003DA"/>
    <w:rsid w:val="7B914152"/>
    <w:rsid w:val="7B98728E"/>
    <w:rsid w:val="7BB05D2A"/>
    <w:rsid w:val="7BDD1298"/>
    <w:rsid w:val="7BE67FFA"/>
    <w:rsid w:val="7BFC5A6F"/>
    <w:rsid w:val="7C0C265A"/>
    <w:rsid w:val="7C0F6C70"/>
    <w:rsid w:val="7C270A0F"/>
    <w:rsid w:val="7C45096D"/>
    <w:rsid w:val="7C490589"/>
    <w:rsid w:val="7C52568F"/>
    <w:rsid w:val="7C5C650E"/>
    <w:rsid w:val="7C6043DA"/>
    <w:rsid w:val="7C703D67"/>
    <w:rsid w:val="7C7E056D"/>
    <w:rsid w:val="7C9E08D4"/>
    <w:rsid w:val="7CA103C5"/>
    <w:rsid w:val="7CB974BC"/>
    <w:rsid w:val="7CC06294"/>
    <w:rsid w:val="7CC92729"/>
    <w:rsid w:val="7CEF2EDE"/>
    <w:rsid w:val="7D1F125E"/>
    <w:rsid w:val="7D2D1C58"/>
    <w:rsid w:val="7D586CD5"/>
    <w:rsid w:val="7D63567A"/>
    <w:rsid w:val="7D8F4629"/>
    <w:rsid w:val="7D985324"/>
    <w:rsid w:val="7DA77C5D"/>
    <w:rsid w:val="7DC154DE"/>
    <w:rsid w:val="7DD141C0"/>
    <w:rsid w:val="7DDC134B"/>
    <w:rsid w:val="7E17093E"/>
    <w:rsid w:val="7E513524"/>
    <w:rsid w:val="7E6C128B"/>
    <w:rsid w:val="7E8B48A1"/>
    <w:rsid w:val="7E8F2A06"/>
    <w:rsid w:val="7E9B156F"/>
    <w:rsid w:val="7ECB1729"/>
    <w:rsid w:val="7EE03426"/>
    <w:rsid w:val="7EE342FA"/>
    <w:rsid w:val="7EE84089"/>
    <w:rsid w:val="7EF23159"/>
    <w:rsid w:val="7F1E5CFC"/>
    <w:rsid w:val="7F203823"/>
    <w:rsid w:val="7F315A30"/>
    <w:rsid w:val="7F4B1427"/>
    <w:rsid w:val="7FD5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1364</Words>
  <Characters>1493</Characters>
  <Lines>1</Lines>
  <Paragraphs>1</Paragraphs>
  <TotalTime>13</TotalTime>
  <ScaleCrop>false</ScaleCrop>
  <LinksUpToDate>false</LinksUpToDate>
  <CharactersWithSpaces>1606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2019-12-07T15:18:00Z</cp:lastPrinted>
  <dcterms:modified xsi:type="dcterms:W3CDTF">2025-11-07T02:44:39Z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F16A326A20414061AE21255AD88F9FB9_13</vt:lpwstr>
  </property>
  <property fmtid="{D5CDD505-2E9C-101B-9397-08002B2CF9AE}" pid="4" name="KSOTemplateDocerSaveRecord">
    <vt:lpwstr>eyJoZGlkIjoiZjk0Mjc3ZDkwMjliN2ZmMzIwNDVhYjI4NGQxN2FlODkiLCJ1c2VySWQiOiIxNjMzNjY2NDM0In0=</vt:lpwstr>
  </property>
</Properties>
</file>