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滁州市第二人民医院认知知觉功能障碍仪采购项目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CZEY-2025018</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1DEF7D76">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滁州市第二人民医院认知知觉功能障碍仪采购项目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CZEY-2025018</w:t>
      </w:r>
    </w:p>
    <w:p w14:paraId="66BA418A">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滁州市第二人民医院认知知觉功能障碍仪采购项目</w:t>
      </w:r>
    </w:p>
    <w:p w14:paraId="41994096">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24万元</w:t>
      </w:r>
    </w:p>
    <w:p w14:paraId="25519445">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24万元，高于最高限价其投标文件按无效投标处理。</w:t>
      </w:r>
    </w:p>
    <w:p w14:paraId="122CA39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拟采购认知知觉功能障碍仪2套，具体详见采购需求。</w:t>
      </w:r>
    </w:p>
    <w:p w14:paraId="4C98AB0F">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③所投产品具备医疗器械注册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4.投标人所属分公司、办事处等分支机构存在第3款信誉要求①-⑥项情形之一的，接受投标人参加本项目。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3000元</w:t>
            </w:r>
            <w:r>
              <w:rPr>
                <w:rFonts w:hint="eastAsia" w:ascii="宋体" w:hAnsi="宋体" w:cs="宋体"/>
                <w:b w:val="0"/>
                <w:bCs w:val="0"/>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叁年</w:t>
            </w:r>
          </w:p>
        </w:tc>
      </w:tr>
    </w:tbl>
    <w:p w14:paraId="73FE517C">
      <w:pPr>
        <w:keepNext w:val="0"/>
        <w:keepLines w:val="0"/>
        <w:pageBreakBefore w:val="0"/>
        <w:widowControl w:val="0"/>
        <w:kinsoku/>
        <w:wordWrap/>
        <w:overflowPunct/>
        <w:topLinePunct w:val="0"/>
        <w:autoSpaceDE/>
        <w:autoSpaceDN/>
        <w:bidi w:val="0"/>
        <w:spacing w:line="400" w:lineRule="exact"/>
        <w:textAlignment w:val="auto"/>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4407F610">
      <w:pPr>
        <w:keepNext w:val="0"/>
        <w:keepLines w:val="0"/>
        <w:pageBreakBefore w:val="0"/>
        <w:widowControl w:val="0"/>
        <w:kinsoku/>
        <w:wordWrap/>
        <w:overflowPunct/>
        <w:topLinePunct w:val="0"/>
        <w:autoSpaceDE/>
        <w:autoSpaceDN/>
        <w:bidi w:val="0"/>
        <w:spacing w:line="480" w:lineRule="exact"/>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采购数量：2套。</w:t>
      </w:r>
    </w:p>
    <w:p w14:paraId="40714BAD">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系统功能</w:t>
      </w:r>
    </w:p>
    <w:p w14:paraId="16538237">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语言认知能力测试：包括推理能力、情景认知、记忆等测试项目，能满足临床需求。</w:t>
      </w:r>
    </w:p>
    <w:p w14:paraId="002EEC8F">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测试项目细分模块包括：数的排列、数的分解、图片推理、图形推理、找不同、看图排序、图形记忆等认知因子评测模块，每项测试模块至少8道以上交互式测试题目组成，由易到难，精准掌握患者的认知水平；</w:t>
      </w:r>
    </w:p>
    <w:p w14:paraId="3086E96D">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语言认知能力训练：包括情景认知、记忆、推理能力、逻辑类比、语义理解、问题解决等多种类型的训练项目。</w:t>
      </w:r>
    </w:p>
    <w:p w14:paraId="1BD8468B">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训练项目细分多种模块，包含解决认知因子专项训练模块，每项训练不少于10个训练题目。</w:t>
      </w:r>
    </w:p>
    <w:p w14:paraId="2CFD40FA">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技术指标</w:t>
      </w:r>
    </w:p>
    <w:p w14:paraId="4E141AAB">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低通滤波器</w:t>
      </w:r>
    </w:p>
    <w:p w14:paraId="5DD9D1B0">
      <w:pPr>
        <w:keepNext w:val="0"/>
        <w:keepLines w:val="0"/>
        <w:pageBreakBefore w:val="0"/>
        <w:widowControl w:val="0"/>
        <w:numPr>
          <w:ilvl w:val="0"/>
          <w:numId w:val="0"/>
        </w:numPr>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增益：共四档 25dB、30dB、35dB、40dB，档误差±1.0dB；（100HZ-700HZ基频范围）</w:t>
      </w:r>
    </w:p>
    <w:p w14:paraId="5EA3AFF3">
      <w:pPr>
        <w:keepNext w:val="0"/>
        <w:keepLines w:val="0"/>
        <w:pageBreakBefore w:val="0"/>
        <w:widowControl w:val="0"/>
        <w:numPr>
          <w:ilvl w:val="0"/>
          <w:numId w:val="0"/>
        </w:numPr>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低通滤波共三档 5kHz、10kHz、20kHz</w:t>
      </w:r>
    </w:p>
    <w:p w14:paraId="2D936346">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5kHz：当输入信号频率为100Hz-700Hz时，信号响应在-1.0dB到+1.0dB之间；</w:t>
      </w:r>
    </w:p>
    <w:p w14:paraId="1D37B158">
      <w:pPr>
        <w:keepNext w:val="0"/>
        <w:keepLines w:val="0"/>
        <w:pageBreakBefore w:val="0"/>
        <w:widowControl w:val="0"/>
        <w:kinsoku/>
        <w:wordWrap/>
        <w:overflowPunct/>
        <w:topLinePunct w:val="0"/>
        <w:autoSpaceDE/>
        <w:autoSpaceDN/>
        <w:bidi w:val="0"/>
        <w:spacing w:line="48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当输入信号频率为700Hz-2.5kHz时，信号响应在-2.0dB到+2.0dB之间；</w:t>
      </w:r>
    </w:p>
    <w:p w14:paraId="4E182297">
      <w:pPr>
        <w:keepNext w:val="0"/>
        <w:keepLines w:val="0"/>
        <w:pageBreakBefore w:val="0"/>
        <w:widowControl w:val="0"/>
        <w:kinsoku/>
        <w:wordWrap/>
        <w:overflowPunct/>
        <w:topLinePunct w:val="0"/>
        <w:autoSpaceDE/>
        <w:autoSpaceDN/>
        <w:bidi w:val="0"/>
        <w:spacing w:line="48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当输入信号频率为5.5kHz时，基本无信号响应；</w:t>
      </w:r>
    </w:p>
    <w:p w14:paraId="31F25BFC">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10kHz：当输入信号频率为100Hz-5kHz时，信号响应在-2.0dB到+2.0dB之间；</w:t>
      </w:r>
    </w:p>
    <w:p w14:paraId="7BDB250B">
      <w:pPr>
        <w:keepNext w:val="0"/>
        <w:keepLines w:val="0"/>
        <w:pageBreakBefore w:val="0"/>
        <w:widowControl w:val="0"/>
        <w:kinsoku/>
        <w:wordWrap/>
        <w:overflowPunct/>
        <w:topLinePunct w:val="0"/>
        <w:autoSpaceDE/>
        <w:autoSpaceDN/>
        <w:bidi w:val="0"/>
        <w:spacing w:line="480" w:lineRule="exact"/>
        <w:ind w:firstLine="1120" w:firstLineChars="467"/>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当输入信号频率为11kHz时，基本无信号输出；</w:t>
      </w:r>
    </w:p>
    <w:p w14:paraId="2C25FDF2">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20kHz：当输入信号频率为100Hz-10kHz时，信号响应在-2.0dB到+2.0dB之间；</w:t>
      </w:r>
    </w:p>
    <w:p w14:paraId="3D838CF0">
      <w:pPr>
        <w:keepNext w:val="0"/>
        <w:keepLines w:val="0"/>
        <w:pageBreakBefore w:val="0"/>
        <w:widowControl w:val="0"/>
        <w:kinsoku/>
        <w:wordWrap/>
        <w:overflowPunct/>
        <w:topLinePunct w:val="0"/>
        <w:autoSpaceDE/>
        <w:autoSpaceDN/>
        <w:bidi w:val="0"/>
        <w:spacing w:line="480" w:lineRule="exact"/>
        <w:ind w:firstLine="1104" w:firstLineChars="46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当输入信号频率为22k Hz时，基本无信号输出；</w:t>
      </w:r>
    </w:p>
    <w:p w14:paraId="47641EF4">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语音信号</w:t>
      </w:r>
    </w:p>
    <w:p w14:paraId="17CAEDB8">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sz w:val="24"/>
          <w:szCs w:val="24"/>
        </w:rPr>
        <w:t>在100Hz-10KHz范围内，信号频率误差：≤4%</w:t>
      </w:r>
    </w:p>
    <w:p w14:paraId="465D958C">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性能特点</w:t>
      </w:r>
    </w:p>
    <w:p w14:paraId="5610D43E">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自动化评估及管理：</w:t>
      </w:r>
      <w:r>
        <w:rPr>
          <w:rFonts w:hint="eastAsia" w:ascii="宋体" w:hAnsi="宋体" w:eastAsia="宋体" w:cs="宋体"/>
          <w:sz w:val="24"/>
          <w:szCs w:val="24"/>
        </w:rPr>
        <w:t>采用人机对话方式，具有自动化评估及管理功能；</w:t>
      </w:r>
    </w:p>
    <w:p w14:paraId="14B18188">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双屏设计：</w:t>
      </w:r>
      <w:r>
        <w:rPr>
          <w:rFonts w:hint="eastAsia" w:ascii="宋体" w:hAnsi="宋体" w:eastAsia="宋体" w:cs="宋体"/>
          <w:sz w:val="24"/>
          <w:szCs w:val="24"/>
        </w:rPr>
        <w:t>操作简单便捷，医师和患者面对不同的显示屏，患者端采用触摸屏操作，参与互动性更强，提高工作效率和提升训练效果；</w:t>
      </w:r>
    </w:p>
    <w:p w14:paraId="3F495E6E">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教学资源丰富多样：</w:t>
      </w:r>
      <w:r>
        <w:rPr>
          <w:rFonts w:hint="eastAsia" w:ascii="宋体" w:hAnsi="宋体" w:eastAsia="宋体" w:cs="宋体"/>
          <w:sz w:val="24"/>
          <w:szCs w:val="24"/>
        </w:rPr>
        <w:t>内置300个以上情景案例，丰富的音频、图片、动画、视频及案例资源，内容趣味生动，支持自定义添加方案，治疗师根据具体需求灵活添加案例资源；</w:t>
      </w:r>
    </w:p>
    <w:p w14:paraId="7B4EB1B3">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操作引导功能</w:t>
      </w:r>
      <w:r>
        <w:rPr>
          <w:rFonts w:hint="eastAsia" w:ascii="宋体" w:hAnsi="宋体" w:eastAsia="宋体" w:cs="宋体"/>
          <w:sz w:val="24"/>
          <w:szCs w:val="24"/>
        </w:rPr>
        <w:t>：在医师端操作情景中建立了情景描述、操作说明、训练目标，指引医师正确操作。</w:t>
      </w:r>
    </w:p>
    <w:p w14:paraId="091F7DD4">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阶梯化趣味训练方案：</w:t>
      </w:r>
      <w:r>
        <w:rPr>
          <w:rFonts w:hint="eastAsia" w:ascii="宋体" w:hAnsi="宋体" w:eastAsia="宋体" w:cs="宋体"/>
          <w:sz w:val="24"/>
          <w:szCs w:val="24"/>
        </w:rPr>
        <w:t>系统采用将专业知识与趣味游戏相结合训练方式，利用FLASH技术、多媒体技术、触摸技术等实现视听效果，采用由浅到深，由易到难、循序渐进的阶梯化训练方式，更加精匹配患者的训练方案。</w:t>
      </w:r>
    </w:p>
    <w:p w14:paraId="101D82A1">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多维度软件管理功能：</w:t>
      </w:r>
    </w:p>
    <w:p w14:paraId="76FAB727">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系统管理：包括医师权限管理，可以注册新医师，能够显示及修改登录密码等信息；患者管理功能，可以注册新病人，能够显示病人姓名、年龄、性别、住址、联系电话等信息。</w:t>
      </w:r>
    </w:p>
    <w:p w14:paraId="0B442156">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rPr>
        <w:t>测试记录管理：可按照时间或测试项目检索查询历史报告，并支持报告打印、导出、删除功能，可自定义勾选评测项目，一键打印或导出多项目合并报告单，实时监测训练效果。</w:t>
      </w:r>
    </w:p>
    <w:p w14:paraId="320170E5">
      <w:pPr>
        <w:pStyle w:val="25"/>
        <w:keepNext w:val="0"/>
        <w:keepLines w:val="0"/>
        <w:pageBreakBefore w:val="0"/>
        <w:widowControl w:val="0"/>
        <w:kinsoku/>
        <w:wordWrap/>
        <w:overflowPunct/>
        <w:topLinePunct w:val="0"/>
        <w:autoSpaceDE/>
        <w:autoSpaceDN/>
        <w:bidi w:val="0"/>
        <w:spacing w:line="480" w:lineRule="exact"/>
        <w:ind w:left="0" w:leftChars="0" w:firstLine="241" w:firstLineChars="100"/>
        <w:textAlignment w:val="auto"/>
        <w:rPr>
          <w:rFonts w:hint="eastAsia" w:ascii="宋体" w:hAnsi="宋体" w:eastAsia="宋体"/>
          <w:b/>
          <w:color w:val="auto"/>
          <w:sz w:val="28"/>
          <w:highlight w:val="none"/>
        </w:rPr>
      </w:pPr>
      <w:r>
        <w:rPr>
          <w:rFonts w:hint="eastAsia" w:ascii="宋体" w:hAnsi="宋体" w:eastAsia="宋体" w:cs="宋体"/>
          <w:b/>
          <w:bCs/>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方案管理功能：包括情景库管理与计划方案管理植入标准训练库等，支持在标准训练库中选择患者专属训练模块，制定个性化训练方案。</w:t>
      </w:r>
    </w:p>
    <w:p w14:paraId="4BFFEA70">
      <w:pPr>
        <w:spacing w:line="360" w:lineRule="auto"/>
        <w:jc w:val="both"/>
        <w:outlineLvl w:val="0"/>
        <w:rPr>
          <w:rFonts w:hint="eastAsia" w:ascii="宋体" w:hAnsi="宋体" w:eastAsia="宋体"/>
          <w:b/>
          <w:color w:val="auto"/>
          <w:sz w:val="28"/>
          <w:highlight w:val="none"/>
        </w:rPr>
      </w:pPr>
    </w:p>
    <w:p w14:paraId="7FC5C997">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所投产品具备医疗器械注册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55"/>
        <w:gridCol w:w="6810"/>
        <w:gridCol w:w="1154"/>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rPr>
              <w:t>类别</w:t>
            </w:r>
          </w:p>
        </w:tc>
        <w:tc>
          <w:tcPr>
            <w:tcW w:w="691"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235"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548"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405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4" w:type="pct"/>
            <w:vMerge w:val="restart"/>
            <w:tcBorders>
              <w:left w:val="single" w:color="auto" w:sz="4" w:space="0"/>
              <w:right w:val="single" w:color="auto" w:sz="4" w:space="0"/>
            </w:tcBorders>
            <w:vAlign w:val="center"/>
          </w:tcPr>
          <w:p w14:paraId="22B9191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0 分）</w:t>
            </w:r>
          </w:p>
        </w:tc>
        <w:tc>
          <w:tcPr>
            <w:tcW w:w="4475" w:type="pct"/>
            <w:gridSpan w:val="3"/>
            <w:tcBorders>
              <w:left w:val="single" w:color="auto" w:sz="4" w:space="0"/>
              <w:right w:val="single" w:color="auto" w:sz="4" w:space="0"/>
            </w:tcBorders>
            <w:vAlign w:val="center"/>
          </w:tcPr>
          <w:p w14:paraId="7202251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资信部分（13分）</w:t>
            </w:r>
          </w:p>
        </w:tc>
      </w:tr>
      <w:tr w14:paraId="3177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24" w:type="pct"/>
            <w:vMerge w:val="continue"/>
            <w:tcBorders>
              <w:left w:val="single" w:color="auto" w:sz="4" w:space="0"/>
              <w:right w:val="single" w:color="auto" w:sz="4" w:space="0"/>
            </w:tcBorders>
            <w:vAlign w:val="center"/>
          </w:tcPr>
          <w:p w14:paraId="423BAB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78E6297B">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产品业绩</w:t>
            </w:r>
          </w:p>
        </w:tc>
        <w:tc>
          <w:tcPr>
            <w:tcW w:w="3235" w:type="pct"/>
            <w:tcBorders>
              <w:top w:val="single" w:color="auto" w:sz="4" w:space="0"/>
              <w:left w:val="single" w:color="auto" w:sz="4" w:space="0"/>
              <w:right w:val="single" w:color="auto" w:sz="4" w:space="0"/>
            </w:tcBorders>
            <w:shd w:val="clear" w:color="auto" w:fill="auto"/>
            <w:vAlign w:val="center"/>
          </w:tcPr>
          <w:p w14:paraId="2991763B">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eastAsia="zh-CN" w:bidi="ar"/>
              </w:rPr>
            </w:pPr>
            <w:r>
              <w:rPr>
                <w:rFonts w:hint="eastAsia" w:asciiTheme="majorEastAsia" w:hAnsiTheme="majorEastAsia" w:eastAsiaTheme="majorEastAsia" w:cstheme="majorEastAsia"/>
                <w:b w:val="0"/>
                <w:bCs w:val="0"/>
                <w:snapToGrid w:val="0"/>
                <w:kern w:val="0"/>
                <w:sz w:val="24"/>
                <w:szCs w:val="24"/>
                <w:highlight w:val="none"/>
                <w:lang w:bidi="ar"/>
              </w:rPr>
              <w:t>自2023年1月1日以来(以合同签订时间为准)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具有本次所投产品供货业绩(此处业绩系指产品业绩，不限合同卖方主体)，每提供一个得</w:t>
            </w:r>
            <w:r>
              <w:rPr>
                <w:rFonts w:hint="eastAsia" w:asciiTheme="majorEastAsia" w:hAnsiTheme="majorEastAsia" w:eastAsiaTheme="majorEastAsia" w:cstheme="majorEastAsia"/>
                <w:b w:val="0"/>
                <w:bCs w:val="0"/>
                <w:snapToGrid w:val="0"/>
                <w:kern w:val="0"/>
                <w:sz w:val="24"/>
                <w:szCs w:val="24"/>
                <w:highlight w:val="none"/>
                <w:lang w:val="en-US" w:eastAsia="zh-CN" w:bidi="ar"/>
              </w:rPr>
              <w:t>2</w:t>
            </w:r>
            <w:r>
              <w:rPr>
                <w:rFonts w:hint="eastAsia" w:asciiTheme="majorEastAsia" w:hAnsiTheme="majorEastAsia" w:eastAsiaTheme="majorEastAsia" w:cstheme="majorEastAsia"/>
                <w:b w:val="0"/>
                <w:bCs w:val="0"/>
                <w:snapToGrid w:val="0"/>
                <w:kern w:val="0"/>
                <w:sz w:val="24"/>
                <w:szCs w:val="24"/>
                <w:highlight w:val="none"/>
                <w:lang w:bidi="ar"/>
              </w:rPr>
              <w:t>分，满分</w:t>
            </w:r>
            <w:r>
              <w:rPr>
                <w:rFonts w:hint="eastAsia" w:asciiTheme="majorEastAsia" w:hAnsiTheme="majorEastAsia" w:eastAsiaTheme="majorEastAsia" w:cstheme="majorEastAsia"/>
                <w:b w:val="0"/>
                <w:bCs w:val="0"/>
                <w:snapToGrid w:val="0"/>
                <w:kern w:val="0"/>
                <w:sz w:val="24"/>
                <w:szCs w:val="24"/>
                <w:highlight w:val="none"/>
                <w:lang w:val="en-US" w:eastAsia="zh-CN" w:bidi="ar"/>
              </w:rPr>
              <w:t>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highlight w:val="none"/>
                <w:lang w:eastAsia="zh-CN" w:bidi="ar"/>
              </w:rPr>
              <w:t>。</w:t>
            </w:r>
          </w:p>
          <w:p w14:paraId="342F7510">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w:t>
            </w:r>
            <w:r>
              <w:rPr>
                <w:rFonts w:hint="eastAsia" w:asciiTheme="majorEastAsia" w:hAnsiTheme="majorEastAsia" w:eastAsiaTheme="majorEastAsia" w:cstheme="majorEastAsia"/>
                <w:b w:val="0"/>
                <w:bCs w:val="0"/>
                <w:snapToGrid w:val="0"/>
                <w:kern w:val="0"/>
                <w:sz w:val="24"/>
                <w:szCs w:val="24"/>
                <w:highlight w:val="none"/>
                <w:lang w:bidi="ar"/>
              </w:rPr>
              <w:t>产品名称</w:t>
            </w:r>
            <w:r>
              <w:rPr>
                <w:rFonts w:hint="eastAsia" w:asciiTheme="majorEastAsia" w:hAnsiTheme="majorEastAsia" w:eastAsiaTheme="majorEastAsia" w:cstheme="majorEastAsia"/>
                <w:b w:val="0"/>
                <w:bCs w:val="0"/>
                <w:snapToGrid w:val="0"/>
                <w:kern w:val="0"/>
                <w:sz w:val="24"/>
                <w:szCs w:val="24"/>
                <w:highlight w:val="none"/>
                <w:lang w:val="en-US" w:eastAsia="zh-CN" w:bidi="ar"/>
              </w:rPr>
              <w:t>型号</w:t>
            </w:r>
            <w:r>
              <w:rPr>
                <w:rFonts w:hint="eastAsia" w:asciiTheme="majorEastAsia" w:hAnsiTheme="majorEastAsia" w:eastAsiaTheme="majorEastAsia" w:cstheme="majorEastAsia"/>
                <w:b w:val="0"/>
                <w:bCs w:val="0"/>
                <w:snapToGrid w:val="0"/>
                <w:kern w:val="0"/>
                <w:sz w:val="24"/>
                <w:szCs w:val="24"/>
                <w:highlight w:val="none"/>
                <w:lang w:bidi="ar"/>
              </w:rPr>
              <w:t>等</w:t>
            </w:r>
            <w:r>
              <w:rPr>
                <w:rFonts w:hint="eastAsia" w:asciiTheme="majorEastAsia" w:hAnsiTheme="majorEastAsia" w:eastAsiaTheme="majorEastAsia" w:cstheme="majorEastAsia"/>
                <w:b w:val="0"/>
                <w:bCs w:val="0"/>
                <w:snapToGrid w:val="0"/>
                <w:kern w:val="0"/>
                <w:sz w:val="24"/>
                <w:szCs w:val="24"/>
                <w:highlight w:val="none"/>
                <w:lang w:val="en-US" w:eastAsia="zh-CN" w:bidi="ar"/>
              </w:rPr>
              <w:t>关键信息</w:t>
            </w:r>
            <w:r>
              <w:rPr>
                <w:rFonts w:hint="eastAsia" w:asciiTheme="majorEastAsia" w:hAnsiTheme="majorEastAsia" w:eastAsiaTheme="majorEastAsia" w:cstheme="majorEastAsia"/>
                <w:b w:val="0"/>
                <w:bCs w:val="0"/>
                <w:snapToGrid w:val="0"/>
                <w:kern w:val="0"/>
                <w:sz w:val="24"/>
                <w:szCs w:val="24"/>
                <w:lang w:bidi="ar"/>
              </w:rPr>
              <w:t>的，须另提供业主单位出具有效的证明材料，否则不予认可。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1AF9B09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2A4C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24" w:type="pct"/>
            <w:vMerge w:val="continue"/>
            <w:tcBorders>
              <w:left w:val="single" w:color="auto" w:sz="4" w:space="0"/>
              <w:right w:val="single" w:color="auto" w:sz="4" w:space="0"/>
            </w:tcBorders>
            <w:vAlign w:val="center"/>
          </w:tcPr>
          <w:p w14:paraId="3758A4D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2B7B52E6">
            <w:pPr>
              <w:keepNext w:val="0"/>
              <w:keepLines w:val="0"/>
              <w:widowControl/>
              <w:suppressLineNumbers w:val="0"/>
              <w:spacing w:before="0" w:beforeAutospacing="0" w:after="0" w:afterAutospacing="0" w:line="324" w:lineRule="auto"/>
              <w:ind w:left="0" w:leftChars="0" w:right="0" w:rightChars="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235" w:type="pct"/>
            <w:tcBorders>
              <w:top w:val="single" w:color="auto" w:sz="4" w:space="0"/>
              <w:left w:val="single" w:color="auto" w:sz="4" w:space="0"/>
              <w:right w:val="single" w:color="auto" w:sz="4" w:space="0"/>
            </w:tcBorders>
            <w:shd w:val="clear" w:color="auto" w:fill="auto"/>
            <w:vAlign w:val="top"/>
          </w:tcPr>
          <w:p w14:paraId="7E9395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69DD03A6">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r>
              <w:rPr>
                <w:rFonts w:hint="eastAsia" w:asciiTheme="majorEastAsia" w:hAnsiTheme="majorEastAsia" w:eastAsiaTheme="majorEastAsia" w:cstheme="majorEastAsia"/>
                <w:b w:val="0"/>
                <w:bCs w:val="0"/>
                <w:snapToGrid w:val="0"/>
                <w:kern w:val="0"/>
                <w:sz w:val="24"/>
                <w:szCs w:val="24"/>
                <w:lang w:eastAsia="zh-CN" w:bidi="ar"/>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5079DDD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6FC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4" w:type="pct"/>
            <w:vMerge w:val="continue"/>
            <w:tcBorders>
              <w:left w:val="single" w:color="auto" w:sz="4" w:space="0"/>
              <w:right w:val="single" w:color="auto" w:sz="4" w:space="0"/>
            </w:tcBorders>
            <w:vAlign w:val="center"/>
          </w:tcPr>
          <w:p w14:paraId="5D226B4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5F3B2B19">
            <w:pPr>
              <w:keepNext w:val="0"/>
              <w:keepLines w:val="0"/>
              <w:widowControl/>
              <w:suppressLineNumbers w:val="0"/>
              <w:spacing w:before="0" w:beforeAutospacing="0" w:after="0" w:afterAutospacing="0" w:line="324" w:lineRule="auto"/>
              <w:ind w:left="0" w:leftChars="0" w:right="0" w:rightChars="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企业实力</w:t>
            </w:r>
          </w:p>
        </w:tc>
        <w:tc>
          <w:tcPr>
            <w:tcW w:w="3235" w:type="pct"/>
            <w:tcBorders>
              <w:top w:val="single" w:color="auto" w:sz="4" w:space="0"/>
              <w:left w:val="single" w:color="auto" w:sz="4" w:space="0"/>
              <w:right w:val="single" w:color="auto" w:sz="4" w:space="0"/>
            </w:tcBorders>
            <w:shd w:val="clear" w:color="auto" w:fill="auto"/>
            <w:vAlign w:val="top"/>
          </w:tcPr>
          <w:p w14:paraId="4BC8A6C5">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default" w:asciiTheme="majorEastAsia" w:hAnsiTheme="majorEastAsia" w:eastAsiaTheme="majorEastAsia" w:cstheme="majorEastAsia"/>
                <w:b w:val="0"/>
                <w:bCs w:val="0"/>
                <w:snapToGrid w:val="0"/>
                <w:kern w:val="0"/>
                <w:sz w:val="24"/>
                <w:szCs w:val="24"/>
                <w:highlight w:val="none"/>
                <w:lang w:val="en-US" w:eastAsia="zh-CN"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产品具有计算机软件著作权登记证书</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得2.5分；</w:t>
            </w:r>
          </w:p>
          <w:p w14:paraId="61FEA039">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2.</w:t>
            </w:r>
            <w:r>
              <w:rPr>
                <w:rFonts w:hint="eastAsia" w:asciiTheme="majorEastAsia" w:hAnsiTheme="majorEastAsia" w:eastAsiaTheme="majorEastAsia" w:cstheme="majorEastAsia"/>
                <w:b w:val="0"/>
                <w:bCs w:val="0"/>
                <w:snapToGrid w:val="0"/>
                <w:kern w:val="0"/>
                <w:sz w:val="24"/>
                <w:szCs w:val="24"/>
                <w:highlight w:val="none"/>
                <w:lang w:bidi="ar"/>
              </w:rPr>
              <w:t>产品</w:t>
            </w:r>
            <w:r>
              <w:rPr>
                <w:rFonts w:hint="eastAsia" w:asciiTheme="majorEastAsia" w:hAnsiTheme="majorEastAsia" w:eastAsiaTheme="majorEastAsia" w:cstheme="majorEastAsia"/>
                <w:b w:val="0"/>
                <w:bCs w:val="0"/>
                <w:snapToGrid w:val="0"/>
                <w:kern w:val="0"/>
                <w:sz w:val="24"/>
                <w:szCs w:val="24"/>
                <w:highlight w:val="none"/>
                <w:lang w:val="en-US" w:eastAsia="zh-CN" w:bidi="ar"/>
              </w:rPr>
              <w:t>生产商</w:t>
            </w:r>
            <w:r>
              <w:rPr>
                <w:rFonts w:hint="eastAsia" w:asciiTheme="majorEastAsia" w:hAnsiTheme="majorEastAsia" w:eastAsiaTheme="majorEastAsia" w:cstheme="majorEastAsia"/>
                <w:b w:val="0"/>
                <w:bCs w:val="0"/>
                <w:snapToGrid w:val="0"/>
                <w:kern w:val="0"/>
                <w:sz w:val="24"/>
                <w:szCs w:val="24"/>
                <w:highlight w:val="none"/>
                <w:lang w:bidi="ar"/>
              </w:rPr>
              <w:t>CMD医疗器械质量管理体系认证证书，</w:t>
            </w:r>
            <w:r>
              <w:rPr>
                <w:rFonts w:hint="eastAsia" w:asciiTheme="majorEastAsia" w:hAnsiTheme="majorEastAsia" w:eastAsiaTheme="majorEastAsia" w:cstheme="majorEastAsia"/>
                <w:b w:val="0"/>
                <w:bCs w:val="0"/>
                <w:snapToGrid w:val="0"/>
                <w:kern w:val="0"/>
                <w:sz w:val="24"/>
                <w:szCs w:val="24"/>
                <w:highlight w:val="none"/>
                <w:lang w:val="en-US" w:eastAsia="zh-CN" w:bidi="ar"/>
              </w:rPr>
              <w:t>得2.5分；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CEBDBA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66AE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4" w:type="pct"/>
            <w:vMerge w:val="continue"/>
            <w:tcBorders>
              <w:left w:val="single" w:color="auto" w:sz="4" w:space="0"/>
              <w:right w:val="single" w:color="auto" w:sz="4" w:space="0"/>
            </w:tcBorders>
            <w:vAlign w:val="center"/>
          </w:tcPr>
          <w:p w14:paraId="5254A53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475" w:type="pct"/>
            <w:gridSpan w:val="3"/>
            <w:tcBorders>
              <w:left w:val="single" w:color="auto" w:sz="4" w:space="0"/>
              <w:right w:val="single" w:color="auto" w:sz="4" w:space="0"/>
            </w:tcBorders>
            <w:vAlign w:val="center"/>
          </w:tcPr>
          <w:p w14:paraId="6DE6DFE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技术部分（47分）</w:t>
            </w:r>
          </w:p>
        </w:tc>
      </w:tr>
      <w:tr w14:paraId="43E4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pct"/>
            <w:vMerge w:val="continue"/>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691" w:type="pct"/>
            <w:tcBorders>
              <w:top w:val="single" w:color="auto" w:sz="4" w:space="0"/>
              <w:left w:val="single" w:color="auto" w:sz="4" w:space="0"/>
              <w:right w:val="single" w:color="auto" w:sz="4" w:space="0"/>
            </w:tcBorders>
            <w:shd w:val="clear" w:color="auto" w:fill="auto"/>
            <w:vAlign w:val="center"/>
          </w:tcPr>
          <w:p w14:paraId="57D8737C">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235" w:type="pct"/>
            <w:tcBorders>
              <w:top w:val="single" w:color="auto" w:sz="4" w:space="0"/>
              <w:left w:val="single" w:color="auto" w:sz="4" w:space="0"/>
              <w:right w:val="single" w:color="auto" w:sz="4" w:space="0"/>
            </w:tcBorders>
            <w:shd w:val="clear" w:color="auto" w:fill="auto"/>
            <w:vAlign w:val="center"/>
          </w:tcPr>
          <w:p w14:paraId="0C73E7C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为核心参数，不满足作为废标项。</w:t>
            </w:r>
          </w:p>
          <w:p w14:paraId="25198CF9">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val="en-US" w:eastAsia="zh-CN" w:bidi="ar"/>
              </w:rPr>
              <w:t>共4项，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分，负偏离不得分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7596D47E">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bidi="ar"/>
              </w:rPr>
              <w:t>非标注“★”</w:t>
            </w:r>
            <w:r>
              <w:rPr>
                <w:rFonts w:hint="eastAsia" w:asciiTheme="majorEastAsia" w:hAnsiTheme="majorEastAsia" w:eastAsiaTheme="majorEastAsia" w:cstheme="majorEastAsia"/>
                <w:b w:val="0"/>
                <w:bCs w:val="0"/>
                <w:snapToGrid w:val="0"/>
                <w:kern w:val="0"/>
                <w:sz w:val="24"/>
                <w:szCs w:val="24"/>
                <w:lang w:bidi="ar"/>
              </w:rPr>
              <w:t>“</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bidi="ar"/>
              </w:rPr>
              <w:t>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8</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2.5</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20</w:t>
            </w:r>
            <w:r>
              <w:rPr>
                <w:rFonts w:hint="eastAsia" w:asciiTheme="majorEastAsia" w:hAnsiTheme="majorEastAsia" w:eastAsiaTheme="majorEastAsia" w:cstheme="majorEastAsia"/>
                <w:b w:val="0"/>
                <w:bCs w:val="0"/>
                <w:snapToGrid w:val="0"/>
                <w:kern w:val="0"/>
                <w:sz w:val="24"/>
                <w:szCs w:val="24"/>
                <w:highlight w:val="none"/>
                <w:lang w:bidi="ar"/>
              </w:rPr>
              <w:t>分。</w:t>
            </w:r>
          </w:p>
          <w:p w14:paraId="5DF6EB33">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技术</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7033F0C8">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200D40C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44</w:t>
            </w:r>
            <w:r>
              <w:rPr>
                <w:rFonts w:hint="eastAsia" w:asciiTheme="majorEastAsia" w:hAnsiTheme="majorEastAsia" w:eastAsiaTheme="majorEastAsia" w:cstheme="majorEastAsia"/>
                <w:b w:val="0"/>
                <w:bCs w:val="0"/>
                <w:sz w:val="24"/>
                <w:szCs w:val="24"/>
              </w:rPr>
              <w:t>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235" w:type="pct"/>
            <w:tcBorders>
              <w:top w:val="single" w:color="auto" w:sz="4" w:space="0"/>
              <w:left w:val="single" w:color="auto" w:sz="4" w:space="0"/>
              <w:bottom w:val="single" w:color="auto" w:sz="4" w:space="0"/>
              <w:right w:val="single" w:color="auto" w:sz="4" w:space="0"/>
            </w:tcBorders>
            <w:shd w:val="clear" w:color="auto" w:fill="auto"/>
            <w:vAlign w:val="center"/>
          </w:tcPr>
          <w:p w14:paraId="37EA5453">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napToGrid w:val="0"/>
                <w:kern w:val="0"/>
                <w:sz w:val="24"/>
                <w:szCs w:val="24"/>
                <w:lang w:bidi="ar"/>
              </w:rPr>
              <w:t>根据投标人提供的售后服务及维保体系、售后技术服务承诺（包括售后响应时间、保障措施等）、维保方案（包括质保期、质保内容、持续免费的备品备件供应、质保期外的售后服务方案、售后人员配备等）进行综合评审。售后服务及维保体系、保障措施、维保方案完善、售后响应及时的得</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分；售后服务及维保体系、保障措施、维保方案较完善、售后响应及时但尚需完善的得</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分；售后服务及维保体系、保障措施、维保方案基本满足服务要求的得</w:t>
            </w:r>
            <w:r>
              <w:rPr>
                <w:rFonts w:hint="eastAsia" w:asciiTheme="majorEastAsia" w:hAnsiTheme="majorEastAsia" w:eastAsiaTheme="majorEastAsia" w:cstheme="majorEastAsia"/>
                <w:b w:val="0"/>
                <w:bCs w:val="0"/>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bidi="ar"/>
              </w:rPr>
              <w:t>分；较差或未提供不得分。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215" w:type="pct"/>
            <w:gridSpan w:val="2"/>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3784" w:type="pct"/>
            <w:gridSpan w:val="2"/>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E9DE85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滁州市第二人民医院认知知觉功能障碍仪采购项目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CZEY-2025018</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041B934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所投产品具备医疗器械注册证；</w:t>
      </w:r>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bookmarkStart w:id="83" w:name="_GoBack"/>
      <w:bookmarkEnd w:id="83"/>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457768004"/>
      <w:bookmarkStart w:id="53" w:name="_Toc300210382"/>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31244"/>
      <w:bookmarkStart w:id="58" w:name="_Toc9573"/>
      <w:bookmarkStart w:id="59" w:name="OLE_LINK13"/>
      <w:bookmarkStart w:id="60" w:name="OLE_LINK1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6435"/>
      <w:bookmarkStart w:id="62"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5520" w:firstLineChars="2300"/>
        <w:rPr>
          <w:rFonts w:ascii="宋体" w:hAnsi="宋体" w:eastAsia="宋体"/>
          <w:color w:val="auto"/>
          <w:sz w:val="24"/>
          <w:highlight w:val="none"/>
          <w:u w:val="singl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3F58D03-E716-479F-9A80-17A0C5F4D1B0}"/>
  </w:font>
  <w:font w:name="Arial">
    <w:panose1 w:val="020B0604020202020204"/>
    <w:charset w:val="01"/>
    <w:family w:val="swiss"/>
    <w:pitch w:val="default"/>
    <w:sig w:usb0="E0002EFF" w:usb1="C000785B" w:usb2="00000009" w:usb3="00000000" w:csb0="400001FF" w:csb1="FFFF0000"/>
    <w:embedRegular r:id="rId2" w:fontKey="{7A7C0F67-4C5D-49D5-860F-C01B846C1D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D487BD49-FD16-4336-ABD3-83C2FCBE28A2}"/>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F83B4231-DF68-47FE-B59C-ABD14347BFA8}"/>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0E507BA3-51D4-4F11-8C7E-D00AEFDD70A5}"/>
  </w:font>
  <w:font w:name="仿宋">
    <w:panose1 w:val="02010609060101010101"/>
    <w:charset w:val="86"/>
    <w:family w:val="modern"/>
    <w:pitch w:val="default"/>
    <w:sig w:usb0="800002BF" w:usb1="38CF7CFA" w:usb2="00000016" w:usb3="00000000" w:csb0="00040001" w:csb1="00000000"/>
    <w:embedRegular r:id="rId6" w:fontKey="{F4515E07-A904-4581-8710-9A14B2EBF04F}"/>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3452CE"/>
    <w:rsid w:val="00847DE1"/>
    <w:rsid w:val="009C512B"/>
    <w:rsid w:val="00B0507A"/>
    <w:rsid w:val="00DE5743"/>
    <w:rsid w:val="00EF16FF"/>
    <w:rsid w:val="01017684"/>
    <w:rsid w:val="013730A5"/>
    <w:rsid w:val="013B7284"/>
    <w:rsid w:val="01457570"/>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3035935"/>
    <w:rsid w:val="03077138"/>
    <w:rsid w:val="032D650E"/>
    <w:rsid w:val="034877EC"/>
    <w:rsid w:val="034D095E"/>
    <w:rsid w:val="03534B9D"/>
    <w:rsid w:val="03675AE6"/>
    <w:rsid w:val="037153A5"/>
    <w:rsid w:val="039E740C"/>
    <w:rsid w:val="03A82CAD"/>
    <w:rsid w:val="03BB7AB1"/>
    <w:rsid w:val="03DF1EFE"/>
    <w:rsid w:val="03F11C32"/>
    <w:rsid w:val="04275653"/>
    <w:rsid w:val="043B6051"/>
    <w:rsid w:val="04936845"/>
    <w:rsid w:val="04986A1A"/>
    <w:rsid w:val="04B50EB1"/>
    <w:rsid w:val="04BD7D66"/>
    <w:rsid w:val="04DA2664"/>
    <w:rsid w:val="04DF5F2E"/>
    <w:rsid w:val="05377B18"/>
    <w:rsid w:val="053A4F12"/>
    <w:rsid w:val="05597A8E"/>
    <w:rsid w:val="055E6E53"/>
    <w:rsid w:val="05882122"/>
    <w:rsid w:val="058F34B0"/>
    <w:rsid w:val="05A6031B"/>
    <w:rsid w:val="05AA02EA"/>
    <w:rsid w:val="05B227CB"/>
    <w:rsid w:val="05DA343D"/>
    <w:rsid w:val="06494EFE"/>
    <w:rsid w:val="065546FA"/>
    <w:rsid w:val="06606BFB"/>
    <w:rsid w:val="06691F53"/>
    <w:rsid w:val="06846D8D"/>
    <w:rsid w:val="06A967F3"/>
    <w:rsid w:val="06B43B46"/>
    <w:rsid w:val="06DC0977"/>
    <w:rsid w:val="076822F3"/>
    <w:rsid w:val="07E777BB"/>
    <w:rsid w:val="07EE6511"/>
    <w:rsid w:val="08297BEC"/>
    <w:rsid w:val="08387FA9"/>
    <w:rsid w:val="0870581B"/>
    <w:rsid w:val="08805F84"/>
    <w:rsid w:val="08966904"/>
    <w:rsid w:val="089E3A0A"/>
    <w:rsid w:val="08DD2784"/>
    <w:rsid w:val="08E52849"/>
    <w:rsid w:val="08FD4BD5"/>
    <w:rsid w:val="091D0DD3"/>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961280"/>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621E43"/>
    <w:rsid w:val="0C8A3082"/>
    <w:rsid w:val="0C9E222B"/>
    <w:rsid w:val="0CE560AB"/>
    <w:rsid w:val="0CEE6D0E"/>
    <w:rsid w:val="0CF54541"/>
    <w:rsid w:val="0D076022"/>
    <w:rsid w:val="0D2E35AF"/>
    <w:rsid w:val="0D2E7A52"/>
    <w:rsid w:val="0D564D5C"/>
    <w:rsid w:val="0D5A0848"/>
    <w:rsid w:val="0D657CAC"/>
    <w:rsid w:val="0D6C5618"/>
    <w:rsid w:val="0D7A4A46"/>
    <w:rsid w:val="0D870F11"/>
    <w:rsid w:val="0DC83A03"/>
    <w:rsid w:val="0DF30D4B"/>
    <w:rsid w:val="0DFA5B87"/>
    <w:rsid w:val="0E097B78"/>
    <w:rsid w:val="0E0A401C"/>
    <w:rsid w:val="0E1704E7"/>
    <w:rsid w:val="0E236E8B"/>
    <w:rsid w:val="0E7B6CC7"/>
    <w:rsid w:val="0E8F2773"/>
    <w:rsid w:val="0E9315ED"/>
    <w:rsid w:val="0EA31D7A"/>
    <w:rsid w:val="0EAD0785"/>
    <w:rsid w:val="0ED91C40"/>
    <w:rsid w:val="0EEF6D6E"/>
    <w:rsid w:val="0F4A7694"/>
    <w:rsid w:val="0F607C6B"/>
    <w:rsid w:val="0F692FC4"/>
    <w:rsid w:val="0F9D2C6D"/>
    <w:rsid w:val="0FA43FFC"/>
    <w:rsid w:val="0FBA381F"/>
    <w:rsid w:val="0FD536AF"/>
    <w:rsid w:val="0FED7751"/>
    <w:rsid w:val="0FF3288D"/>
    <w:rsid w:val="0FFA3C1C"/>
    <w:rsid w:val="10026281"/>
    <w:rsid w:val="10207B26"/>
    <w:rsid w:val="109B7BB5"/>
    <w:rsid w:val="10B71B0D"/>
    <w:rsid w:val="10BB33AB"/>
    <w:rsid w:val="10C0771D"/>
    <w:rsid w:val="10DD77C5"/>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B825AF"/>
    <w:rsid w:val="15EC4007"/>
    <w:rsid w:val="1602382A"/>
    <w:rsid w:val="160C28FB"/>
    <w:rsid w:val="161146EA"/>
    <w:rsid w:val="162A1B44"/>
    <w:rsid w:val="16685D83"/>
    <w:rsid w:val="1672275E"/>
    <w:rsid w:val="16BC1C2B"/>
    <w:rsid w:val="16DC407B"/>
    <w:rsid w:val="16EF3DAF"/>
    <w:rsid w:val="17285513"/>
    <w:rsid w:val="172B6DB1"/>
    <w:rsid w:val="17371C20"/>
    <w:rsid w:val="17435EA8"/>
    <w:rsid w:val="17471E3D"/>
    <w:rsid w:val="175E2CE2"/>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63D5B"/>
    <w:rsid w:val="192D284D"/>
    <w:rsid w:val="1945415A"/>
    <w:rsid w:val="19481E9C"/>
    <w:rsid w:val="194A5652"/>
    <w:rsid w:val="195425EF"/>
    <w:rsid w:val="19874772"/>
    <w:rsid w:val="19AC41D9"/>
    <w:rsid w:val="19BD0194"/>
    <w:rsid w:val="19D35A3A"/>
    <w:rsid w:val="19D522A1"/>
    <w:rsid w:val="1A2A3350"/>
    <w:rsid w:val="1A5A1E87"/>
    <w:rsid w:val="1A8D5817"/>
    <w:rsid w:val="1AAE4346"/>
    <w:rsid w:val="1AF851FC"/>
    <w:rsid w:val="1B1262BE"/>
    <w:rsid w:val="1B4A1593"/>
    <w:rsid w:val="1B4D379A"/>
    <w:rsid w:val="1B6610FC"/>
    <w:rsid w:val="1B762CF0"/>
    <w:rsid w:val="1B933CF4"/>
    <w:rsid w:val="1B9C202B"/>
    <w:rsid w:val="1BAD248A"/>
    <w:rsid w:val="1BC21F3A"/>
    <w:rsid w:val="1BE17132"/>
    <w:rsid w:val="1C0539CF"/>
    <w:rsid w:val="1C1B2F7B"/>
    <w:rsid w:val="1C1B5646"/>
    <w:rsid w:val="1C1E610B"/>
    <w:rsid w:val="1C8A6328"/>
    <w:rsid w:val="1C9F6277"/>
    <w:rsid w:val="1CB810E7"/>
    <w:rsid w:val="1CCF110C"/>
    <w:rsid w:val="1CE81E71"/>
    <w:rsid w:val="1D3D7B17"/>
    <w:rsid w:val="1D4B1E70"/>
    <w:rsid w:val="1D7C0366"/>
    <w:rsid w:val="1D9F104A"/>
    <w:rsid w:val="1DD51824"/>
    <w:rsid w:val="1DDE4B7D"/>
    <w:rsid w:val="1DE008F5"/>
    <w:rsid w:val="1DE101C9"/>
    <w:rsid w:val="1DFC5003"/>
    <w:rsid w:val="1E081BFA"/>
    <w:rsid w:val="1E083917"/>
    <w:rsid w:val="1E236A34"/>
    <w:rsid w:val="1E7554E1"/>
    <w:rsid w:val="1E96129B"/>
    <w:rsid w:val="1EC024D4"/>
    <w:rsid w:val="1EDB10BC"/>
    <w:rsid w:val="1EFA59E6"/>
    <w:rsid w:val="1F046865"/>
    <w:rsid w:val="1F1771BC"/>
    <w:rsid w:val="1F404002"/>
    <w:rsid w:val="1F4C0B6E"/>
    <w:rsid w:val="1FAD0CAB"/>
    <w:rsid w:val="1FCF6E73"/>
    <w:rsid w:val="1FDA1374"/>
    <w:rsid w:val="202A7DFC"/>
    <w:rsid w:val="204E5EB7"/>
    <w:rsid w:val="20586E69"/>
    <w:rsid w:val="206F7D0E"/>
    <w:rsid w:val="20847881"/>
    <w:rsid w:val="20B123D5"/>
    <w:rsid w:val="20C6324C"/>
    <w:rsid w:val="20E63CC8"/>
    <w:rsid w:val="20EF2BFD"/>
    <w:rsid w:val="211D59BC"/>
    <w:rsid w:val="21325751"/>
    <w:rsid w:val="21374CD0"/>
    <w:rsid w:val="21457AA6"/>
    <w:rsid w:val="219E6AFD"/>
    <w:rsid w:val="21AB121A"/>
    <w:rsid w:val="21D00F87"/>
    <w:rsid w:val="21D7200F"/>
    <w:rsid w:val="21DE339D"/>
    <w:rsid w:val="21E03F02"/>
    <w:rsid w:val="21ED5F41"/>
    <w:rsid w:val="22066450"/>
    <w:rsid w:val="22272617"/>
    <w:rsid w:val="22596EC8"/>
    <w:rsid w:val="2265586D"/>
    <w:rsid w:val="22833F45"/>
    <w:rsid w:val="22A5210D"/>
    <w:rsid w:val="22E545B0"/>
    <w:rsid w:val="22E5535D"/>
    <w:rsid w:val="22EC1AEA"/>
    <w:rsid w:val="2302130E"/>
    <w:rsid w:val="231E4B29"/>
    <w:rsid w:val="232E3EB1"/>
    <w:rsid w:val="23360FB7"/>
    <w:rsid w:val="233A2855"/>
    <w:rsid w:val="23401B0E"/>
    <w:rsid w:val="234353D1"/>
    <w:rsid w:val="235D1F05"/>
    <w:rsid w:val="236264C6"/>
    <w:rsid w:val="237A5348"/>
    <w:rsid w:val="237F470C"/>
    <w:rsid w:val="239E2206"/>
    <w:rsid w:val="23D9610A"/>
    <w:rsid w:val="23E568B3"/>
    <w:rsid w:val="23EB6A35"/>
    <w:rsid w:val="24013373"/>
    <w:rsid w:val="247B1377"/>
    <w:rsid w:val="249D12EE"/>
    <w:rsid w:val="24E011DB"/>
    <w:rsid w:val="24F9229C"/>
    <w:rsid w:val="251315B0"/>
    <w:rsid w:val="252B16E4"/>
    <w:rsid w:val="25302162"/>
    <w:rsid w:val="2557002B"/>
    <w:rsid w:val="257007B0"/>
    <w:rsid w:val="2593624D"/>
    <w:rsid w:val="259D3570"/>
    <w:rsid w:val="25A8619C"/>
    <w:rsid w:val="25B03DE2"/>
    <w:rsid w:val="25CD79B1"/>
    <w:rsid w:val="25D21D06"/>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6740CE"/>
    <w:rsid w:val="27AB1F74"/>
    <w:rsid w:val="27B01338"/>
    <w:rsid w:val="27D854D6"/>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663529"/>
    <w:rsid w:val="297B3BC8"/>
    <w:rsid w:val="2987431B"/>
    <w:rsid w:val="299B4FB9"/>
    <w:rsid w:val="29B13146"/>
    <w:rsid w:val="29F43A2A"/>
    <w:rsid w:val="2A324774"/>
    <w:rsid w:val="2A5266D7"/>
    <w:rsid w:val="2A6428AE"/>
    <w:rsid w:val="2A703001"/>
    <w:rsid w:val="2A7A3E7F"/>
    <w:rsid w:val="2A8940C2"/>
    <w:rsid w:val="2B2500DD"/>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2469D"/>
    <w:rsid w:val="2CCD0296"/>
    <w:rsid w:val="2CEA709A"/>
    <w:rsid w:val="2D1C121E"/>
    <w:rsid w:val="2D35295B"/>
    <w:rsid w:val="2D572256"/>
    <w:rsid w:val="2D99286E"/>
    <w:rsid w:val="2DBD030B"/>
    <w:rsid w:val="2DC0604D"/>
    <w:rsid w:val="2DC53663"/>
    <w:rsid w:val="2DF919BD"/>
    <w:rsid w:val="2E1B7727"/>
    <w:rsid w:val="2E50117F"/>
    <w:rsid w:val="2E8B0409"/>
    <w:rsid w:val="2E9077CD"/>
    <w:rsid w:val="2EB060C2"/>
    <w:rsid w:val="2EC35DF5"/>
    <w:rsid w:val="2ECB4CA9"/>
    <w:rsid w:val="2EF37D5C"/>
    <w:rsid w:val="2EF835C5"/>
    <w:rsid w:val="2EF91817"/>
    <w:rsid w:val="2F762E67"/>
    <w:rsid w:val="2F8310E0"/>
    <w:rsid w:val="2F882B9B"/>
    <w:rsid w:val="2F9334A5"/>
    <w:rsid w:val="2F9652B7"/>
    <w:rsid w:val="2FB71D2D"/>
    <w:rsid w:val="2FCB375B"/>
    <w:rsid w:val="2FCC6F2B"/>
    <w:rsid w:val="2FF81ACE"/>
    <w:rsid w:val="30314FE0"/>
    <w:rsid w:val="30442B30"/>
    <w:rsid w:val="305B3E0B"/>
    <w:rsid w:val="309335A5"/>
    <w:rsid w:val="30B874AF"/>
    <w:rsid w:val="30CB2D3F"/>
    <w:rsid w:val="30E6401D"/>
    <w:rsid w:val="311A0999"/>
    <w:rsid w:val="311C3B05"/>
    <w:rsid w:val="31344D88"/>
    <w:rsid w:val="315301E3"/>
    <w:rsid w:val="319475D5"/>
    <w:rsid w:val="31AA329C"/>
    <w:rsid w:val="31BB108F"/>
    <w:rsid w:val="31BE0AF5"/>
    <w:rsid w:val="320578B6"/>
    <w:rsid w:val="320E382B"/>
    <w:rsid w:val="322F37A1"/>
    <w:rsid w:val="32534214"/>
    <w:rsid w:val="325A6415"/>
    <w:rsid w:val="326351F9"/>
    <w:rsid w:val="327A1535"/>
    <w:rsid w:val="32904240"/>
    <w:rsid w:val="329B2BE5"/>
    <w:rsid w:val="32A95302"/>
    <w:rsid w:val="32DF445D"/>
    <w:rsid w:val="32E77BD8"/>
    <w:rsid w:val="32F040AA"/>
    <w:rsid w:val="32F12805"/>
    <w:rsid w:val="32F96543"/>
    <w:rsid w:val="330B4429"/>
    <w:rsid w:val="33462B51"/>
    <w:rsid w:val="3381002D"/>
    <w:rsid w:val="33A37FA3"/>
    <w:rsid w:val="33A81699"/>
    <w:rsid w:val="33A902AB"/>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40F15"/>
    <w:rsid w:val="350902DA"/>
    <w:rsid w:val="354B6B44"/>
    <w:rsid w:val="357316F6"/>
    <w:rsid w:val="35A52FD0"/>
    <w:rsid w:val="35B538E8"/>
    <w:rsid w:val="35C918D1"/>
    <w:rsid w:val="35CF31EE"/>
    <w:rsid w:val="35D95EFE"/>
    <w:rsid w:val="36176A26"/>
    <w:rsid w:val="363C023B"/>
    <w:rsid w:val="368F7018"/>
    <w:rsid w:val="36A466B6"/>
    <w:rsid w:val="36B67168"/>
    <w:rsid w:val="37066F38"/>
    <w:rsid w:val="37147EBE"/>
    <w:rsid w:val="3736112E"/>
    <w:rsid w:val="37695060"/>
    <w:rsid w:val="377320FF"/>
    <w:rsid w:val="377A101B"/>
    <w:rsid w:val="379530C6"/>
    <w:rsid w:val="37B06E98"/>
    <w:rsid w:val="37CD1A92"/>
    <w:rsid w:val="37CE75B8"/>
    <w:rsid w:val="37D22C05"/>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CB0253"/>
    <w:rsid w:val="39E11825"/>
    <w:rsid w:val="3A074661"/>
    <w:rsid w:val="3A3B02B6"/>
    <w:rsid w:val="3A451DB4"/>
    <w:rsid w:val="3A4F77A4"/>
    <w:rsid w:val="3A5D69FE"/>
    <w:rsid w:val="3A6A67D9"/>
    <w:rsid w:val="3A881CA1"/>
    <w:rsid w:val="3AAF547F"/>
    <w:rsid w:val="3AC47771"/>
    <w:rsid w:val="3AD42514"/>
    <w:rsid w:val="3AE25855"/>
    <w:rsid w:val="3AF45588"/>
    <w:rsid w:val="3B00217F"/>
    <w:rsid w:val="3B561D9F"/>
    <w:rsid w:val="3B5B7B12"/>
    <w:rsid w:val="3B694A1D"/>
    <w:rsid w:val="3B7010B2"/>
    <w:rsid w:val="3B801919"/>
    <w:rsid w:val="3B8B3D12"/>
    <w:rsid w:val="3B9A7EDD"/>
    <w:rsid w:val="3BA725FA"/>
    <w:rsid w:val="3BC136BC"/>
    <w:rsid w:val="3BD50179"/>
    <w:rsid w:val="3C033CD5"/>
    <w:rsid w:val="3C0E4427"/>
    <w:rsid w:val="3C12216A"/>
    <w:rsid w:val="3C17152E"/>
    <w:rsid w:val="3C3E2F5F"/>
    <w:rsid w:val="3C601127"/>
    <w:rsid w:val="3C7B66FC"/>
    <w:rsid w:val="3C853690"/>
    <w:rsid w:val="3C885F88"/>
    <w:rsid w:val="3CBE19AA"/>
    <w:rsid w:val="3CDE204C"/>
    <w:rsid w:val="3D05582A"/>
    <w:rsid w:val="3D192362"/>
    <w:rsid w:val="3D202664"/>
    <w:rsid w:val="3D264775"/>
    <w:rsid w:val="3D5D11C3"/>
    <w:rsid w:val="3D605157"/>
    <w:rsid w:val="3D644B60"/>
    <w:rsid w:val="3D762284"/>
    <w:rsid w:val="3D7704B3"/>
    <w:rsid w:val="3D8C4692"/>
    <w:rsid w:val="3D933161"/>
    <w:rsid w:val="3DA2751D"/>
    <w:rsid w:val="3E1F0B6E"/>
    <w:rsid w:val="3E497999"/>
    <w:rsid w:val="3E5E3444"/>
    <w:rsid w:val="3E646581"/>
    <w:rsid w:val="3E900306"/>
    <w:rsid w:val="3EA42E21"/>
    <w:rsid w:val="3EB66F78"/>
    <w:rsid w:val="3EE6343A"/>
    <w:rsid w:val="3F0D6C18"/>
    <w:rsid w:val="3F161F71"/>
    <w:rsid w:val="3F3D42AB"/>
    <w:rsid w:val="3F47212A"/>
    <w:rsid w:val="3F5E56C6"/>
    <w:rsid w:val="3F7D3D9E"/>
    <w:rsid w:val="3F8A0269"/>
    <w:rsid w:val="3F9F1F66"/>
    <w:rsid w:val="3FD37E62"/>
    <w:rsid w:val="3FDA11F0"/>
    <w:rsid w:val="3FFE7DA2"/>
    <w:rsid w:val="4044666A"/>
    <w:rsid w:val="4063720A"/>
    <w:rsid w:val="406712EA"/>
    <w:rsid w:val="406D3E12"/>
    <w:rsid w:val="408D0011"/>
    <w:rsid w:val="40DF6392"/>
    <w:rsid w:val="40E017D6"/>
    <w:rsid w:val="40F9220A"/>
    <w:rsid w:val="41076015"/>
    <w:rsid w:val="41462BC1"/>
    <w:rsid w:val="41674009"/>
    <w:rsid w:val="41846EB2"/>
    <w:rsid w:val="41894C7C"/>
    <w:rsid w:val="41913B31"/>
    <w:rsid w:val="419D4283"/>
    <w:rsid w:val="419E3311"/>
    <w:rsid w:val="41EB21B8"/>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66861"/>
    <w:rsid w:val="446B5CB5"/>
    <w:rsid w:val="449A3D36"/>
    <w:rsid w:val="44A616A1"/>
    <w:rsid w:val="44F56185"/>
    <w:rsid w:val="44FF34A7"/>
    <w:rsid w:val="45216F7A"/>
    <w:rsid w:val="452F5B3A"/>
    <w:rsid w:val="45392515"/>
    <w:rsid w:val="45455285"/>
    <w:rsid w:val="45494E2C"/>
    <w:rsid w:val="457810EA"/>
    <w:rsid w:val="457B0D80"/>
    <w:rsid w:val="45A57BAB"/>
    <w:rsid w:val="45A858ED"/>
    <w:rsid w:val="45AA51C1"/>
    <w:rsid w:val="45B1505C"/>
    <w:rsid w:val="45C2075D"/>
    <w:rsid w:val="45CA5863"/>
    <w:rsid w:val="460074D7"/>
    <w:rsid w:val="460912BA"/>
    <w:rsid w:val="46297A13"/>
    <w:rsid w:val="4689127A"/>
    <w:rsid w:val="46911D1D"/>
    <w:rsid w:val="46D5626E"/>
    <w:rsid w:val="46E55481"/>
    <w:rsid w:val="47064679"/>
    <w:rsid w:val="470B1C8F"/>
    <w:rsid w:val="47163D12"/>
    <w:rsid w:val="471F1BDF"/>
    <w:rsid w:val="4723522B"/>
    <w:rsid w:val="473C453F"/>
    <w:rsid w:val="47523D62"/>
    <w:rsid w:val="47857C94"/>
    <w:rsid w:val="479779C7"/>
    <w:rsid w:val="47A125F4"/>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7438EC"/>
    <w:rsid w:val="49865F45"/>
    <w:rsid w:val="499B0F49"/>
    <w:rsid w:val="49BC54C3"/>
    <w:rsid w:val="49E538D1"/>
    <w:rsid w:val="49EE386C"/>
    <w:rsid w:val="49F64E79"/>
    <w:rsid w:val="4A162E25"/>
    <w:rsid w:val="4A2F2482"/>
    <w:rsid w:val="4A35453B"/>
    <w:rsid w:val="4A531BFE"/>
    <w:rsid w:val="4AC51E5D"/>
    <w:rsid w:val="4ACF1226"/>
    <w:rsid w:val="4AF3565B"/>
    <w:rsid w:val="4B076EEB"/>
    <w:rsid w:val="4B4C0B1A"/>
    <w:rsid w:val="4B964046"/>
    <w:rsid w:val="4BB016BF"/>
    <w:rsid w:val="4BB41A6E"/>
    <w:rsid w:val="4BD40E87"/>
    <w:rsid w:val="4C0D2006"/>
    <w:rsid w:val="4C2B0BB7"/>
    <w:rsid w:val="4C4023DB"/>
    <w:rsid w:val="4C4D4AF8"/>
    <w:rsid w:val="4C6D0CF6"/>
    <w:rsid w:val="4CB70FA4"/>
    <w:rsid w:val="4CBB4158"/>
    <w:rsid w:val="4CBB5F06"/>
    <w:rsid w:val="4CCF375F"/>
    <w:rsid w:val="4CE03BBE"/>
    <w:rsid w:val="4CFB48EC"/>
    <w:rsid w:val="4D297313"/>
    <w:rsid w:val="4D573E80"/>
    <w:rsid w:val="4D665E71"/>
    <w:rsid w:val="4D6C7200"/>
    <w:rsid w:val="4D7049C3"/>
    <w:rsid w:val="4D907392"/>
    <w:rsid w:val="4DD7388E"/>
    <w:rsid w:val="4DFC6FAF"/>
    <w:rsid w:val="4E157897"/>
    <w:rsid w:val="4E52289A"/>
    <w:rsid w:val="4E5877A0"/>
    <w:rsid w:val="4E604FB7"/>
    <w:rsid w:val="4E712D20"/>
    <w:rsid w:val="4E881E17"/>
    <w:rsid w:val="4EBB043F"/>
    <w:rsid w:val="4EFB4CDF"/>
    <w:rsid w:val="4F5368C9"/>
    <w:rsid w:val="4F543AE0"/>
    <w:rsid w:val="4F786330"/>
    <w:rsid w:val="4F842056"/>
    <w:rsid w:val="4F8F45D1"/>
    <w:rsid w:val="4FBD4D5E"/>
    <w:rsid w:val="4FE47521"/>
    <w:rsid w:val="4FF9121F"/>
    <w:rsid w:val="4FFC0517"/>
    <w:rsid w:val="507408A5"/>
    <w:rsid w:val="50812FC2"/>
    <w:rsid w:val="50A82C45"/>
    <w:rsid w:val="50BD6410"/>
    <w:rsid w:val="50CA60D9"/>
    <w:rsid w:val="50E023DF"/>
    <w:rsid w:val="50E579F5"/>
    <w:rsid w:val="50EA6DB9"/>
    <w:rsid w:val="510065DD"/>
    <w:rsid w:val="51053BF3"/>
    <w:rsid w:val="51180D53"/>
    <w:rsid w:val="511C6E87"/>
    <w:rsid w:val="51284CD2"/>
    <w:rsid w:val="514209A3"/>
    <w:rsid w:val="515A1860"/>
    <w:rsid w:val="515C7753"/>
    <w:rsid w:val="519F142B"/>
    <w:rsid w:val="51A82AC2"/>
    <w:rsid w:val="51AA471F"/>
    <w:rsid w:val="51B80C66"/>
    <w:rsid w:val="51C615D4"/>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984B3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01C4F"/>
    <w:rsid w:val="55F33CC5"/>
    <w:rsid w:val="56075D18"/>
    <w:rsid w:val="56204D1B"/>
    <w:rsid w:val="56335624"/>
    <w:rsid w:val="564E7DEA"/>
    <w:rsid w:val="565020BD"/>
    <w:rsid w:val="56666EE2"/>
    <w:rsid w:val="56837A94"/>
    <w:rsid w:val="569A4DDE"/>
    <w:rsid w:val="56A47A0A"/>
    <w:rsid w:val="56AA5540"/>
    <w:rsid w:val="56BA722E"/>
    <w:rsid w:val="572D5C52"/>
    <w:rsid w:val="573050F9"/>
    <w:rsid w:val="573568B4"/>
    <w:rsid w:val="576469B4"/>
    <w:rsid w:val="577A1924"/>
    <w:rsid w:val="57945CD1"/>
    <w:rsid w:val="57B11E20"/>
    <w:rsid w:val="57B36733"/>
    <w:rsid w:val="57E07301"/>
    <w:rsid w:val="57FD5624"/>
    <w:rsid w:val="580C1D0B"/>
    <w:rsid w:val="58242BB1"/>
    <w:rsid w:val="5853793A"/>
    <w:rsid w:val="585F6F22"/>
    <w:rsid w:val="587578B0"/>
    <w:rsid w:val="58A22362"/>
    <w:rsid w:val="58B24661"/>
    <w:rsid w:val="58CD434A"/>
    <w:rsid w:val="58F307D5"/>
    <w:rsid w:val="58FC1D80"/>
    <w:rsid w:val="59284923"/>
    <w:rsid w:val="594F1EAF"/>
    <w:rsid w:val="595A2602"/>
    <w:rsid w:val="59896639"/>
    <w:rsid w:val="599B6DB6"/>
    <w:rsid w:val="59BB7545"/>
    <w:rsid w:val="59C77C98"/>
    <w:rsid w:val="59E44CEE"/>
    <w:rsid w:val="5A037476"/>
    <w:rsid w:val="5A1F4E71"/>
    <w:rsid w:val="5A327942"/>
    <w:rsid w:val="5A3F1F24"/>
    <w:rsid w:val="5A5473DB"/>
    <w:rsid w:val="5A6B0CE3"/>
    <w:rsid w:val="5A820063"/>
    <w:rsid w:val="5A8738CB"/>
    <w:rsid w:val="5A9A2114"/>
    <w:rsid w:val="5AC02939"/>
    <w:rsid w:val="5ACB37B8"/>
    <w:rsid w:val="5ADD173D"/>
    <w:rsid w:val="5B0B1E06"/>
    <w:rsid w:val="5B286E5C"/>
    <w:rsid w:val="5B4F74CF"/>
    <w:rsid w:val="5B55190F"/>
    <w:rsid w:val="5B5C4D58"/>
    <w:rsid w:val="5BA81D4B"/>
    <w:rsid w:val="5BD41E0C"/>
    <w:rsid w:val="5BDF1B04"/>
    <w:rsid w:val="5BE32D83"/>
    <w:rsid w:val="5BF31218"/>
    <w:rsid w:val="5BF76B9A"/>
    <w:rsid w:val="5BFC5BF3"/>
    <w:rsid w:val="5C441A74"/>
    <w:rsid w:val="5C45759A"/>
    <w:rsid w:val="5C986CFA"/>
    <w:rsid w:val="5CA93FCD"/>
    <w:rsid w:val="5CD64696"/>
    <w:rsid w:val="5CED210B"/>
    <w:rsid w:val="5CEE378D"/>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99597B"/>
    <w:rsid w:val="5ED30E8D"/>
    <w:rsid w:val="5EF9755F"/>
    <w:rsid w:val="5F1115F5"/>
    <w:rsid w:val="5F1D25F2"/>
    <w:rsid w:val="5F7268F8"/>
    <w:rsid w:val="5F9C3975"/>
    <w:rsid w:val="5F9F346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359D3"/>
    <w:rsid w:val="6189617B"/>
    <w:rsid w:val="61B51583"/>
    <w:rsid w:val="61D46475"/>
    <w:rsid w:val="61E84BD9"/>
    <w:rsid w:val="623E0D13"/>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650337"/>
    <w:rsid w:val="63770981"/>
    <w:rsid w:val="638E799C"/>
    <w:rsid w:val="63957059"/>
    <w:rsid w:val="63B14A74"/>
    <w:rsid w:val="63F57AF7"/>
    <w:rsid w:val="641309B4"/>
    <w:rsid w:val="64236413"/>
    <w:rsid w:val="6445282D"/>
    <w:rsid w:val="64485E79"/>
    <w:rsid w:val="646F2D60"/>
    <w:rsid w:val="6481138B"/>
    <w:rsid w:val="6493090D"/>
    <w:rsid w:val="64A137DB"/>
    <w:rsid w:val="64B03E04"/>
    <w:rsid w:val="64B60849"/>
    <w:rsid w:val="64DC3505"/>
    <w:rsid w:val="64F16511"/>
    <w:rsid w:val="65420B1A"/>
    <w:rsid w:val="655D3BA6"/>
    <w:rsid w:val="656A02C9"/>
    <w:rsid w:val="658F5CE7"/>
    <w:rsid w:val="65907AD8"/>
    <w:rsid w:val="65C6174B"/>
    <w:rsid w:val="65E87914"/>
    <w:rsid w:val="66106E6A"/>
    <w:rsid w:val="66173D55"/>
    <w:rsid w:val="663E7D2D"/>
    <w:rsid w:val="66A72C8A"/>
    <w:rsid w:val="66AA4BC9"/>
    <w:rsid w:val="66C20165"/>
    <w:rsid w:val="672D1356"/>
    <w:rsid w:val="67695A94"/>
    <w:rsid w:val="67A27F96"/>
    <w:rsid w:val="67CE6F5C"/>
    <w:rsid w:val="67E214A2"/>
    <w:rsid w:val="67FB3025"/>
    <w:rsid w:val="67FD1E64"/>
    <w:rsid w:val="6813679E"/>
    <w:rsid w:val="681A3FD0"/>
    <w:rsid w:val="684626D0"/>
    <w:rsid w:val="685B7E50"/>
    <w:rsid w:val="68662D72"/>
    <w:rsid w:val="68682BEF"/>
    <w:rsid w:val="68694610"/>
    <w:rsid w:val="686B65DA"/>
    <w:rsid w:val="689C49E5"/>
    <w:rsid w:val="68C83A2C"/>
    <w:rsid w:val="68E31F3D"/>
    <w:rsid w:val="68F20AA9"/>
    <w:rsid w:val="68FE11FC"/>
    <w:rsid w:val="693D7F76"/>
    <w:rsid w:val="698A2A90"/>
    <w:rsid w:val="69935DE8"/>
    <w:rsid w:val="69A27DD9"/>
    <w:rsid w:val="69C75A92"/>
    <w:rsid w:val="69DA1D9A"/>
    <w:rsid w:val="69FF790C"/>
    <w:rsid w:val="6A010FA4"/>
    <w:rsid w:val="6A366774"/>
    <w:rsid w:val="6A3C283D"/>
    <w:rsid w:val="6A4175F2"/>
    <w:rsid w:val="6A7B2ACF"/>
    <w:rsid w:val="6ABC311D"/>
    <w:rsid w:val="6AC717A6"/>
    <w:rsid w:val="6AF74155"/>
    <w:rsid w:val="6B113469"/>
    <w:rsid w:val="6B1B388E"/>
    <w:rsid w:val="6B2D7B77"/>
    <w:rsid w:val="6B3D1532"/>
    <w:rsid w:val="6B6317EA"/>
    <w:rsid w:val="6B741C4A"/>
    <w:rsid w:val="6B985938"/>
    <w:rsid w:val="6BE75F78"/>
    <w:rsid w:val="6C4B5B80"/>
    <w:rsid w:val="6C580C23"/>
    <w:rsid w:val="6CA4030D"/>
    <w:rsid w:val="6CE34991"/>
    <w:rsid w:val="6D1763FC"/>
    <w:rsid w:val="6D316241"/>
    <w:rsid w:val="6D6F34FA"/>
    <w:rsid w:val="6D7101EF"/>
    <w:rsid w:val="6D851EEC"/>
    <w:rsid w:val="6DA95E85"/>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9A3F9B"/>
    <w:rsid w:val="6FBE3493"/>
    <w:rsid w:val="6FCD12F8"/>
    <w:rsid w:val="6FD1766A"/>
    <w:rsid w:val="6FD607DD"/>
    <w:rsid w:val="6FDB4045"/>
    <w:rsid w:val="6FDB5DF3"/>
    <w:rsid w:val="6FFF2342"/>
    <w:rsid w:val="700A0487"/>
    <w:rsid w:val="70293003"/>
    <w:rsid w:val="70412B49"/>
    <w:rsid w:val="706C524B"/>
    <w:rsid w:val="70A50A55"/>
    <w:rsid w:val="70AF2E01"/>
    <w:rsid w:val="70EB1B42"/>
    <w:rsid w:val="70EB650A"/>
    <w:rsid w:val="710870BC"/>
    <w:rsid w:val="71245BFC"/>
    <w:rsid w:val="71D260B4"/>
    <w:rsid w:val="71ED1E0E"/>
    <w:rsid w:val="722E00BF"/>
    <w:rsid w:val="722F68CA"/>
    <w:rsid w:val="723D2D95"/>
    <w:rsid w:val="723F4D5F"/>
    <w:rsid w:val="725134A0"/>
    <w:rsid w:val="725A3947"/>
    <w:rsid w:val="72C74D55"/>
    <w:rsid w:val="72D1172F"/>
    <w:rsid w:val="72D66D46"/>
    <w:rsid w:val="72F14819"/>
    <w:rsid w:val="73216213"/>
    <w:rsid w:val="732857F3"/>
    <w:rsid w:val="733E234E"/>
    <w:rsid w:val="734B7734"/>
    <w:rsid w:val="73584C2C"/>
    <w:rsid w:val="736425A4"/>
    <w:rsid w:val="737C5B3F"/>
    <w:rsid w:val="73C52B0E"/>
    <w:rsid w:val="73D03795"/>
    <w:rsid w:val="73E3796C"/>
    <w:rsid w:val="73E7745D"/>
    <w:rsid w:val="73EF00BF"/>
    <w:rsid w:val="73FC458A"/>
    <w:rsid w:val="74072973"/>
    <w:rsid w:val="74177616"/>
    <w:rsid w:val="74485A21"/>
    <w:rsid w:val="745B5755"/>
    <w:rsid w:val="746740F9"/>
    <w:rsid w:val="7487654A"/>
    <w:rsid w:val="74886692"/>
    <w:rsid w:val="74D80B53"/>
    <w:rsid w:val="751002ED"/>
    <w:rsid w:val="75105270"/>
    <w:rsid w:val="7554492F"/>
    <w:rsid w:val="756920F3"/>
    <w:rsid w:val="756B5E6B"/>
    <w:rsid w:val="75C37A55"/>
    <w:rsid w:val="75D92DD5"/>
    <w:rsid w:val="75EE59E0"/>
    <w:rsid w:val="75F45E61"/>
    <w:rsid w:val="75FB7FE4"/>
    <w:rsid w:val="76022D28"/>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22979"/>
    <w:rsid w:val="78931961"/>
    <w:rsid w:val="78A21D8D"/>
    <w:rsid w:val="78AE3973"/>
    <w:rsid w:val="78D8504A"/>
    <w:rsid w:val="79050385"/>
    <w:rsid w:val="791F31F5"/>
    <w:rsid w:val="7936053E"/>
    <w:rsid w:val="79554E68"/>
    <w:rsid w:val="79951709"/>
    <w:rsid w:val="79975481"/>
    <w:rsid w:val="79CB0C87"/>
    <w:rsid w:val="79E24222"/>
    <w:rsid w:val="79FC1788"/>
    <w:rsid w:val="7A48677B"/>
    <w:rsid w:val="7A4D1FE3"/>
    <w:rsid w:val="7A5944E4"/>
    <w:rsid w:val="7A7C39B1"/>
    <w:rsid w:val="7A85352B"/>
    <w:rsid w:val="7A9814B1"/>
    <w:rsid w:val="7AA26AD8"/>
    <w:rsid w:val="7AA65250"/>
    <w:rsid w:val="7ACA7190"/>
    <w:rsid w:val="7B0B276E"/>
    <w:rsid w:val="7B2D4678"/>
    <w:rsid w:val="7B2F3497"/>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8D2B6B"/>
    <w:rsid w:val="7C9E08D4"/>
    <w:rsid w:val="7CA103C5"/>
    <w:rsid w:val="7CB974BC"/>
    <w:rsid w:val="7CC06294"/>
    <w:rsid w:val="7CC92729"/>
    <w:rsid w:val="7CEF2EDE"/>
    <w:rsid w:val="7D1F125E"/>
    <w:rsid w:val="7D2D1C58"/>
    <w:rsid w:val="7D586CD5"/>
    <w:rsid w:val="7D8F4629"/>
    <w:rsid w:val="7D985324"/>
    <w:rsid w:val="7DA77C5D"/>
    <w:rsid w:val="7DC154DE"/>
    <w:rsid w:val="7DD141C0"/>
    <w:rsid w:val="7DDC134B"/>
    <w:rsid w:val="7DF32EA2"/>
    <w:rsid w:val="7E17093E"/>
    <w:rsid w:val="7E6C128B"/>
    <w:rsid w:val="7E8B48A1"/>
    <w:rsid w:val="7E8F2A06"/>
    <w:rsid w:val="7E9B156F"/>
    <w:rsid w:val="7ECB1729"/>
    <w:rsid w:val="7EE342FA"/>
    <w:rsid w:val="7EE84089"/>
    <w:rsid w:val="7EF23159"/>
    <w:rsid w:val="7EF26CB5"/>
    <w:rsid w:val="7F1E5CFC"/>
    <w:rsid w:val="7F203823"/>
    <w:rsid w:val="7F315A30"/>
    <w:rsid w:val="7F4B1427"/>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5974</Words>
  <Characters>6367</Characters>
  <Lines>1</Lines>
  <Paragraphs>1</Paragraphs>
  <TotalTime>17</TotalTime>
  <ScaleCrop>false</ScaleCrop>
  <LinksUpToDate>false</LinksUpToDate>
  <CharactersWithSpaces>6569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2025-11-28T01:21:03Z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eyJoZGlkIjoiYTYxMjFkOWNhOWI5OTBlNTViMTI1NTE2YjFjNDQxNGQiLCJ1c2VySWQiOiIyNzYwMjQyNjMifQ==</vt:lpwstr>
  </property>
</Properties>
</file>