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7D220E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A11796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滁州市第二人民医院血细胞分析仪采购项目</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CZEY-2025017</w:t>
      </w:r>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滁州市第二人民医院（市传染病医院、市精神病医院）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2025年11月</w:t>
      </w:r>
    </w:p>
    <w:p w14:paraId="21AC617A">
      <w:pPr>
        <w:rPr>
          <w:rFonts w:hint="eastAsia" w:ascii="宋体" w:hAnsi="宋体" w:eastAsia="宋体"/>
          <w:b/>
          <w:color w:val="auto"/>
          <w:sz w:val="28"/>
          <w:highlight w:val="none"/>
        </w:rPr>
      </w:pPr>
    </w:p>
    <w:p w14:paraId="34F44117">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_Toc23443 \h </w:instrText>
      </w:r>
      <w:r>
        <w:rPr>
          <w:rFonts w:ascii="宋体" w:hAnsi="宋体" w:eastAsia="宋体"/>
          <w:color w:val="auto"/>
          <w:szCs w:val="24"/>
          <w:highlight w:val="none"/>
        </w:rPr>
        <w:fldChar w:fldCharType="separate"/>
      </w:r>
      <w:r>
        <w:rPr>
          <w:rFonts w:ascii="宋体" w:hAnsi="宋体" w:eastAsia="宋体"/>
          <w:color w:val="auto"/>
          <w:szCs w:val="24"/>
          <w:highlight w:val="none"/>
        </w:rPr>
        <w:t>1</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B6479F8">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_Toc31935 \h </w:instrText>
      </w:r>
      <w:r>
        <w:rPr>
          <w:rFonts w:ascii="宋体" w:hAnsi="宋体" w:eastAsia="宋体"/>
          <w:color w:val="auto"/>
          <w:szCs w:val="24"/>
          <w:highlight w:val="none"/>
        </w:rPr>
        <w:fldChar w:fldCharType="separate"/>
      </w:r>
      <w:r>
        <w:rPr>
          <w:rFonts w:ascii="宋体" w:hAnsi="宋体" w:eastAsia="宋体"/>
          <w:color w:val="auto"/>
          <w:szCs w:val="24"/>
          <w:highlight w:val="none"/>
        </w:rPr>
        <w:t>3</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1977EAB">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_Toc10891 \h </w:instrText>
      </w:r>
      <w:r>
        <w:rPr>
          <w:rFonts w:ascii="宋体" w:hAnsi="宋体" w:eastAsia="宋体"/>
          <w:color w:val="auto"/>
          <w:szCs w:val="24"/>
          <w:highlight w:val="none"/>
        </w:rPr>
        <w:fldChar w:fldCharType="separate"/>
      </w:r>
      <w:r>
        <w:rPr>
          <w:rFonts w:ascii="宋体" w:hAnsi="宋体" w:eastAsia="宋体"/>
          <w:color w:val="auto"/>
          <w:szCs w:val="24"/>
          <w:highlight w:val="none"/>
        </w:rPr>
        <w:t>15</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532E6FF">
      <w:pPr>
        <w:pStyle w:val="20"/>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第四章  评标方法和标准（综合评分法）</w:t>
      </w:r>
      <w:r>
        <w:rPr>
          <w:rFonts w:hint="default" w:ascii="宋体" w:hAnsi="宋体" w:eastAsia="宋体"/>
          <w:color w:val="auto"/>
          <w:szCs w:val="24"/>
          <w:highlight w:val="none"/>
        </w:rPr>
        <w:tab/>
      </w:r>
      <w:r>
        <w:rPr>
          <w:rFonts w:hint="eastAsia" w:ascii="宋体" w:hAnsi="宋体" w:eastAsia="宋体"/>
          <w:color w:val="auto"/>
          <w:szCs w:val="24"/>
          <w:highlight w:val="none"/>
          <w:lang w:val="en-US" w:eastAsia="zh-CN"/>
        </w:rPr>
        <w:t>1</w:t>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6</w:t>
      </w:r>
    </w:p>
    <w:p w14:paraId="72403DD6">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_Toc4682 \h </w:instrText>
      </w:r>
      <w:r>
        <w:rPr>
          <w:rFonts w:ascii="宋体" w:hAnsi="宋体" w:eastAsia="宋体"/>
          <w:color w:val="auto"/>
          <w:szCs w:val="24"/>
          <w:highlight w:val="none"/>
        </w:rPr>
        <w:fldChar w:fldCharType="separate"/>
      </w:r>
      <w:r>
        <w:rPr>
          <w:rFonts w:ascii="宋体" w:hAnsi="宋体" w:eastAsia="宋体"/>
          <w:color w:val="auto"/>
          <w:szCs w:val="24"/>
          <w:highlight w:val="none"/>
        </w:rPr>
        <w:t>21</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4D49014F">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_Toc22492 \h </w:instrText>
      </w:r>
      <w:r>
        <w:rPr>
          <w:rFonts w:ascii="宋体" w:hAnsi="宋体" w:eastAsia="宋体"/>
          <w:color w:val="auto"/>
          <w:szCs w:val="24"/>
          <w:highlight w:val="none"/>
        </w:rPr>
        <w:fldChar w:fldCharType="separate"/>
      </w:r>
      <w:r>
        <w:rPr>
          <w:rFonts w:ascii="宋体" w:hAnsi="宋体" w:eastAsia="宋体"/>
          <w:color w:val="auto"/>
          <w:szCs w:val="24"/>
          <w:highlight w:val="none"/>
        </w:rPr>
        <w:t>3</w:t>
      </w:r>
      <w:r>
        <w:rPr>
          <w:rFonts w:hint="eastAsia" w:ascii="宋体" w:hAnsi="宋体"/>
          <w:color w:val="auto"/>
          <w:szCs w:val="24"/>
          <w:highlight w:val="none"/>
          <w:lang w:val="en-US" w:eastAsia="zh-CN"/>
        </w:rPr>
        <w:t>7</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471A3F76">
      <w:pPr>
        <w:pStyle w:val="20"/>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1</w:t>
      </w:r>
    </w:p>
    <w:p w14:paraId="1DEF7D76">
      <w:pPr>
        <w:pStyle w:val="20"/>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滁州市第二人民医院血细胞分析仪采购项目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lang w:eastAsia="zh-CN"/>
        </w:rPr>
        <w:t>滁州市第二人民医院</w:t>
      </w:r>
      <w:r>
        <w:rPr>
          <w:rFonts w:hint="eastAsia" w:ascii="宋体" w:hAnsi="宋体" w:eastAsia="宋体"/>
          <w:color w:val="auto"/>
          <w:sz w:val="24"/>
          <w:highlight w:val="none"/>
          <w:u w:val="single"/>
        </w:rPr>
        <w:t>网（</w:t>
      </w:r>
      <w:r>
        <w:rPr>
          <w:rFonts w:hint="eastAsia" w:ascii="宋体" w:hAnsi="宋体" w:eastAsia="宋体"/>
          <w:color w:val="auto"/>
          <w:sz w:val="24"/>
          <w:highlight w:val="none"/>
          <w:u w:val="single"/>
          <w:lang w:eastAsia="zh-CN"/>
        </w:rPr>
        <w:t>https://www.czsey.com/home.html</w:t>
      </w:r>
      <w:r>
        <w:rPr>
          <w:rFonts w:hint="eastAsia" w:ascii="宋体" w:hAnsi="宋体" w:eastAsia="宋体"/>
          <w:color w:val="auto"/>
          <w:sz w:val="24"/>
          <w:highlight w:val="none"/>
          <w:u w:val="single"/>
        </w:rPr>
        <w:t>）</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27</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点</w:t>
      </w:r>
      <w:r>
        <w:rPr>
          <w:rFonts w:hint="eastAsia" w:ascii="宋体" w:hAnsi="宋体" w:eastAsia="宋体"/>
          <w:color w:val="auto"/>
          <w:sz w:val="24"/>
          <w:highlight w:val="none"/>
          <w:u w:val="single"/>
          <w:lang w:val="en-US" w:eastAsia="zh-CN"/>
        </w:rPr>
        <w:t>30</w:t>
      </w:r>
      <w:r>
        <w:rPr>
          <w:rFonts w:hint="eastAsia" w:ascii="宋体" w:hAnsi="宋体" w:eastAsia="宋体"/>
          <w:color w:val="auto"/>
          <w:sz w:val="24"/>
          <w:highlight w:val="none"/>
          <w:u w:val="single"/>
        </w:rPr>
        <w:t>分</w:t>
      </w:r>
      <w:r>
        <w:rPr>
          <w:rFonts w:hint="eastAsia" w:ascii="宋体" w:hAnsi="宋体" w:eastAsia="宋体"/>
          <w:color w:val="auto"/>
          <w:sz w:val="24"/>
          <w:highlight w:val="none"/>
        </w:rPr>
        <w:t>（北京时间）前递交投标文件。</w:t>
      </w:r>
    </w:p>
    <w:p w14:paraId="2899C37B">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CZEY-2025017</w:t>
      </w:r>
    </w:p>
    <w:p w14:paraId="6999831F">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滁州市第二人民医院血细胞分析仪采购项目</w:t>
      </w:r>
    </w:p>
    <w:p w14:paraId="41994096">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16</w:t>
      </w:r>
      <w:r>
        <w:rPr>
          <w:rFonts w:hint="eastAsia" w:ascii="宋体" w:hAnsi="宋体" w:eastAsia="宋体"/>
          <w:color w:val="auto"/>
          <w:sz w:val="24"/>
          <w:highlight w:val="none"/>
          <w:u w:val="single"/>
        </w:rPr>
        <w:t>万元</w:t>
      </w:r>
    </w:p>
    <w:p w14:paraId="25519445">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16万元，高于最高限价其投标文件按无效投标处理。</w:t>
      </w:r>
    </w:p>
    <w:p w14:paraId="122CA394">
      <w:pPr>
        <w:spacing w:line="360" w:lineRule="auto"/>
        <w:ind w:firstLine="240" w:firstLineChars="100"/>
        <w:jc w:val="left"/>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u w:val="none"/>
          <w:lang w:val="en-US" w:eastAsia="zh-CN"/>
        </w:rPr>
        <w:t>采购需求：</w:t>
      </w:r>
      <w:r>
        <w:rPr>
          <w:rFonts w:hint="eastAsia" w:ascii="宋体" w:hAnsi="宋体" w:eastAsia="宋体"/>
          <w:color w:val="auto"/>
          <w:sz w:val="24"/>
          <w:highlight w:val="none"/>
          <w:u w:val="single"/>
          <w:lang w:val="en-US" w:eastAsia="zh-CN"/>
        </w:rPr>
        <w:t>拟采购血细胞分析仪，具体详见采购需求。</w:t>
      </w:r>
    </w:p>
    <w:p w14:paraId="4C98AB0F">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供货期</w:t>
      </w:r>
      <w:r>
        <w:rPr>
          <w:rFonts w:hint="eastAsia" w:ascii="宋体" w:hAnsi="宋体" w:eastAsia="宋体"/>
          <w:color w:val="auto"/>
          <w:sz w:val="24"/>
          <w:highlight w:val="none"/>
        </w:rPr>
        <w:t>：</w:t>
      </w:r>
      <w:r>
        <w:rPr>
          <w:rFonts w:hint="eastAsia" w:ascii="宋体" w:hAnsi="宋体" w:eastAsia="宋体"/>
          <w:color w:val="auto"/>
          <w:sz w:val="24"/>
          <w:highlight w:val="none"/>
          <w:u w:val="single"/>
          <w:lang w:val="en-US" w:eastAsia="zh-CN"/>
        </w:rPr>
        <w:t>不高于14个日历天</w:t>
      </w:r>
    </w:p>
    <w:p w14:paraId="470BE722">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7D16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0873DAF8">
      <w:pPr>
        <w:spacing w:line="360" w:lineRule="auto"/>
        <w:ind w:firstLine="435"/>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①具有合法有效的营业执照、组织机构代码证、税务登记证（或三证合一有效证书），②投标人为制造商的必须取得国家食品药品监督管理部门颁发的此类设备医疗器械生产许可证，投标人为代理商或经销商应具有有效的中华人民共和国医疗器械经营许可证或医疗器械经营备案凭证；</w:t>
      </w:r>
    </w:p>
    <w:p w14:paraId="57C54CA0">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6B58AA6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2BA88FD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3A6F05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6182F7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320A56E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13D4B6D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6438452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 4 款信誉要求①-⑥项 情形之一的，接受投标人参加本项目。 </w:t>
      </w:r>
    </w:p>
    <w:p w14:paraId="5EFEAA2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 xml:space="preserve">20 </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27</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滁州市第二人民医院官网</w:t>
      </w:r>
    </w:p>
    <w:p w14:paraId="501E7F7B">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提交投标文件截止时间和地点</w:t>
      </w:r>
      <w:bookmarkEnd w:id="9"/>
    </w:p>
    <w:p w14:paraId="37F4F7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27</w:t>
      </w:r>
      <w:r>
        <w:rPr>
          <w:rFonts w:hint="eastAsia" w:ascii="宋体" w:hAnsi="宋体" w:eastAsia="宋体" w:cs="宋体"/>
          <w:sz w:val="24"/>
          <w:szCs w:val="24"/>
          <w:highlight w:val="none"/>
          <w:u w:val="none"/>
        </w:rPr>
        <w:t>日</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lang w:eastAsia="zh-CN"/>
        </w:rPr>
        <w:t>滁州市第二人民医院西区至善楼三楼招标办</w:t>
      </w:r>
    </w:p>
    <w:p w14:paraId="2350B0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795"/>
      <w:bookmarkStart w:id="14" w:name="_Toc8807"/>
      <w:bookmarkStart w:id="15" w:name="_Toc35393626"/>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滁州市第二人民医院（市传染病医院、市精神病医院）</w:t>
      </w:r>
    </w:p>
    <w:p w14:paraId="59A1385E">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滁州市清流中路1401号</w:t>
      </w:r>
    </w:p>
    <w:p w14:paraId="30160067">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0550-3523822</w:t>
      </w:r>
    </w:p>
    <w:p w14:paraId="6AD7FB6B">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highlight w:val="none"/>
          <w:u w:val="single"/>
          <w:shd w:val="clear" w:color="auto" w:fill="FFFFFF"/>
        </w:rPr>
        <w:t>滁州市世贸大厦A座18楼1818</w:t>
      </w:r>
    </w:p>
    <w:p w14:paraId="2B2C4B35">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7A0DC9F">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35BEB1E9">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516D582C">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41469F93">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2564C531">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11</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25</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2EA1BF6D">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38EC1F6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107E86E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2C5BEE30">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3F8C19A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1E0E4A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37FA9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4538C88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2D25025">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231642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E6A04E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7C3C4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5B0DA1B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A875E4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3F1FB7C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44C90C87">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7DD158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29B97BCB">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在滁州市第二人民医院官网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6236762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27764BD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09B07F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vAlign w:val="center"/>
          </w:tcPr>
          <w:p w14:paraId="5879733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2500元</w:t>
            </w:r>
            <w:r>
              <w:rPr>
                <w:rFonts w:hint="default" w:ascii="宋体" w:hAnsi="宋体" w:cs="宋体"/>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4295802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039965B6">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b w:val="0"/>
                <w:color w:val="auto"/>
                <w:sz w:val="24"/>
                <w:szCs w:val="20"/>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5EEA759A">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104A78C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滁州市第二人民医院或江苏川页工程项目管理有限公司</w:t>
            </w:r>
          </w:p>
          <w:p w14:paraId="46059663">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0550-3523822或18755018236</w:t>
            </w:r>
          </w:p>
          <w:p w14:paraId="0D94B8A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滁州市清流中路1401号或滁州市世贸大厦A座18楼1818</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17E3ACB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915BE5D">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174" w:type="pct"/>
            <w:vAlign w:val="center"/>
          </w:tcPr>
          <w:p w14:paraId="177A0FF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244"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174" w:type="pct"/>
            <w:vAlign w:val="center"/>
          </w:tcPr>
          <w:p w14:paraId="73CEE45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244"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6D2835AC">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24882"/>
      <w:bookmarkStart w:id="22" w:name="_Toc14880"/>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677796B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0A0099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6C6ADC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26B027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AFD3B9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0B6B46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0C965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351E110">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1C39CB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4C2097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417907C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BBEE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00AA643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18C1369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483C68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5E6B0D2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1DFD750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40374920">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B32CE38">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5D2B34B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9E0E312">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2AAD3D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4F911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63D97AD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6C412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775E9D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滁州市第二人民医院官网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526E5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BFCC90">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5E7089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20E582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4B9563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C99E333">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0567C0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991A5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263F1FA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9AEBB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317CE7D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3FAE4D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1A62433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78869B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550488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2141F1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DE5ED5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1D40F5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6BCC117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0BED32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2CAADA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59DF7A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81C71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077D6B6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66D71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3A0FAA9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3C7C4D2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354257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6F2271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31969B2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3551069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01393EC3">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4375030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6FE091A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7F5940A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4EADC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11CC92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6BC01332">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b/>
          <w:bCs/>
          <w:color w:val="auto"/>
          <w:sz w:val="24"/>
          <w:highlight w:val="none"/>
        </w:rPr>
        <w:t>方</w:t>
      </w:r>
      <w:r>
        <w:rPr>
          <w:rFonts w:ascii="宋体" w:hAnsi="宋体" w:eastAsia="宋体"/>
          <w:b/>
          <w:bCs/>
          <w:color w:val="auto"/>
          <w:sz w:val="24"/>
          <w:highlight w:val="none"/>
        </w:rPr>
        <w:t>法</w:t>
      </w:r>
      <w:r>
        <w:rPr>
          <w:rFonts w:hint="eastAsia" w:ascii="宋体" w:hAnsi="宋体" w:eastAsia="宋体"/>
          <w:b/>
          <w:bCs/>
          <w:color w:val="auto"/>
          <w:sz w:val="24"/>
          <w:highlight w:val="none"/>
        </w:rPr>
        <w:t>和标准</w:t>
      </w:r>
      <w:r>
        <w:rPr>
          <w:rFonts w:ascii="宋体" w:hAnsi="宋体" w:eastAsia="宋体"/>
          <w:b/>
          <w:bCs/>
          <w:color w:val="auto"/>
          <w:sz w:val="24"/>
          <w:highlight w:val="none"/>
        </w:rPr>
        <w:t>规定的方式确定一个投标人获得中标人推荐资格；未规定的采取随机抽取方式确定，其他同品牌投标人不作为中标候选人。</w:t>
      </w:r>
    </w:p>
    <w:p w14:paraId="3C9E1A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7F7E0B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23E25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069FCE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2CCD9F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27FA5D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5D3C63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0022B89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5376F6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57E190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B2BB50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DC3B434">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469F4D4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2E1B9F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5B906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A74CE2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63571C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0F4C2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795BD1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50E9D1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6477B5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71489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0D224C7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1AD0A1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1953AD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12945D0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E9CCB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D58F3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73AB1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01E1BB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6C4C92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C82CF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183CF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4DE6C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7A4745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6406CA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2413AB6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BE181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16CF47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4705BD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686420F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00AB6B67">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6384F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6D091B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737C5D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88AB2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7CFCF7F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7E58EC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920F42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0131C4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9B1753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滁州市第二人民医院官网</w:t>
      </w:r>
      <w:r>
        <w:rPr>
          <w:rFonts w:hint="eastAsia" w:ascii="宋体" w:hAnsi="宋体" w:eastAsia="宋体"/>
          <w:color w:val="auto"/>
          <w:sz w:val="24"/>
          <w:szCs w:val="18"/>
          <w:highlight w:val="none"/>
        </w:rPr>
        <w:t>（https://www.czsey.com/home.html）上发布中标结果公告。</w:t>
      </w:r>
    </w:p>
    <w:p w14:paraId="2C13EDC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2869F44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0ED5D93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5B860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7E6813B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5520868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433218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778B4754">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35E93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1D6452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3EA1445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66770C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BA36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0F7B8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FAD44BB">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3690A53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43CC15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90FB5F6">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3708B1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B5222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39EE680">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234AFDC7">
      <w:pPr>
        <w:spacing w:line="360" w:lineRule="auto"/>
        <w:ind w:firstLine="435"/>
        <w:rPr>
          <w:rFonts w:ascii="方正仿宋_GB2312" w:hAnsi="宋体" w:eastAsia="方正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901F6D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72B281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228250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B3FF28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15279D28">
      <w:pPr>
        <w:spacing w:line="360" w:lineRule="auto"/>
        <w:ind w:firstLine="437"/>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2030"/>
        <w:gridCol w:w="698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141F85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71" w:type="pct"/>
            <w:vAlign w:val="center"/>
          </w:tcPr>
          <w:p w14:paraId="4B62D8A3">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682" w:type="pct"/>
            <w:vAlign w:val="center"/>
          </w:tcPr>
          <w:p w14:paraId="579D528B">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385705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bCs w:val="0"/>
                <w:color w:val="auto"/>
                <w:kern w:val="2"/>
                <w:highlight w:val="none"/>
              </w:rPr>
            </w:pPr>
            <w:r>
              <w:rPr>
                <w:rFonts w:hint="eastAsia" w:ascii="宋体" w:hAnsi="宋体" w:eastAsia="宋体"/>
                <w:b/>
                <w:bCs w:val="0"/>
                <w:color w:val="auto"/>
                <w:kern w:val="2"/>
                <w:highlight w:val="none"/>
              </w:rPr>
              <w:t>1</w:t>
            </w:r>
          </w:p>
        </w:tc>
        <w:tc>
          <w:tcPr>
            <w:tcW w:w="1071" w:type="pct"/>
            <w:vAlign w:val="center"/>
          </w:tcPr>
          <w:p w14:paraId="691B55C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682" w:type="pct"/>
            <w:vAlign w:val="center"/>
          </w:tcPr>
          <w:p w14:paraId="35D5B5BB">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项目供货完成并经采购单位验收合格后一次性付清合同价款</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B133E1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71" w:type="pct"/>
            <w:vAlign w:val="center"/>
          </w:tcPr>
          <w:p w14:paraId="4A6FF69F">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682" w:type="pct"/>
            <w:vAlign w:val="center"/>
          </w:tcPr>
          <w:p w14:paraId="30E214E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AEAD16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71" w:type="pct"/>
            <w:vAlign w:val="center"/>
          </w:tcPr>
          <w:p w14:paraId="2232AB66">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682" w:type="pct"/>
            <w:vAlign w:val="center"/>
          </w:tcPr>
          <w:p w14:paraId="6967BE05">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不高于14个日历天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0807E96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71" w:type="pct"/>
            <w:vAlign w:val="center"/>
          </w:tcPr>
          <w:p w14:paraId="4F73ABB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682" w:type="pct"/>
            <w:vAlign w:val="center"/>
          </w:tcPr>
          <w:p w14:paraId="3D33EE7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叁年</w:t>
            </w:r>
          </w:p>
        </w:tc>
      </w:tr>
    </w:tbl>
    <w:p w14:paraId="73FE517C">
      <w:pPr>
        <w:keepNext w:val="0"/>
        <w:keepLines w:val="0"/>
        <w:pageBreakBefore w:val="0"/>
        <w:widowControl w:val="0"/>
        <w:kinsoku/>
        <w:wordWrap/>
        <w:overflowPunct/>
        <w:topLinePunct w:val="0"/>
        <w:autoSpaceDE/>
        <w:autoSpaceDN/>
        <w:bidi w:val="0"/>
        <w:spacing w:line="400" w:lineRule="exact"/>
        <w:ind w:firstLine="437"/>
        <w:textAlignment w:val="auto"/>
        <w:outlineLvl w:val="1"/>
        <w:rPr>
          <w:rFonts w:hint="default" w:ascii="宋体" w:hAnsi="宋体" w:eastAsia="宋体"/>
          <w:b/>
          <w:color w:val="auto"/>
          <w:sz w:val="24"/>
          <w:szCs w:val="18"/>
          <w:highlight w:val="none"/>
          <w:lang w:val="en-US"/>
        </w:rPr>
      </w:pPr>
      <w:bookmarkStart w:id="32" w:name="_Toc16417"/>
      <w:r>
        <w:rPr>
          <w:rFonts w:hint="eastAsia" w:ascii="宋体" w:hAnsi="宋体" w:eastAsia="宋体"/>
          <w:b/>
          <w:color w:val="auto"/>
          <w:sz w:val="24"/>
          <w:szCs w:val="18"/>
          <w:highlight w:val="none"/>
          <w:lang w:val="en-US" w:eastAsia="zh-CN"/>
        </w:rPr>
        <w:t>二、采购需求清单及技术参数要求</w:t>
      </w:r>
    </w:p>
    <w:p w14:paraId="6385B28B">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★1、血液报告参数：≥37个</w:t>
      </w:r>
    </w:p>
    <w:p w14:paraId="178D08B4">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★2、体液模式：支持胸水、腹水、脑脊液等细胞计数及分类，报告参数≥6个；</w:t>
      </w:r>
    </w:p>
    <w:p w14:paraId="280367F0">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3、检测速度：CBC+DIFF+NRBC≥100个/小时，具备RET检测功能</w:t>
      </w:r>
    </w:p>
    <w:p w14:paraId="1F39D316">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★4、用血量：全血全自动/手动进样≤100μl，预稀释模式≤60μl；</w:t>
      </w:r>
    </w:p>
    <w:p w14:paraId="7AEFAC00">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★5、血小板检测通道：具备单独低值血小板通道，确保检测准确性</w:t>
      </w:r>
    </w:p>
    <w:p w14:paraId="6AC4C8B6">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★6、血小板精密度：PLT值在125 ×10^9/L～350 ×10^9/L时≤3%；PLT值在20×10^9/L～100 ×10^9/L时，精密度需≤5%（需提供证明）</w:t>
      </w:r>
    </w:p>
    <w:p w14:paraId="0FFF3A81">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7、质控品：红细胞主要成分为人类细胞，避免种属差异、基质效应导致的偏差，确保溯源性与临床样本可比性（以质控注册证、说明书为准）</w:t>
      </w:r>
    </w:p>
    <w:p w14:paraId="37FE2C24">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8、校准品：提供原厂校准品及溯源报告。可校准 WBC、RBC、HGB、HCT、PLT、RET（以注册证为准）。</w:t>
      </w:r>
    </w:p>
    <w:p w14:paraId="417F7415">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★9、稀释液配置：提供常规稀释液+浓缩稀释液，浓缩稀释液支持不停机换试剂，且稀释倍数≥20，便于操作且节省存储空间</w:t>
      </w:r>
    </w:p>
    <w:p w14:paraId="604B43F0">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10、审核规则与软件：具备全国三甲医院多中心建立及验证的自动审核规则（已发表核心期刊，可提供证明），标配智能审核软件，提升科室报告审核效率</w:t>
      </w:r>
    </w:p>
    <w:p w14:paraId="459DCDAF">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★11、室间质评：2025年第一次全国卫生健康委临检中心全血细胞计数能力室间质评中，所投品牌需具备单独分组，且上报家数≥230家。</w:t>
      </w:r>
    </w:p>
    <w:p w14:paraId="012E500B">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12、售后服务：所投产品生产厂家针对本次招标项目的厂家售后服务承诺函</w:t>
      </w:r>
    </w:p>
    <w:p w14:paraId="4A52BBF8">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13、系统对接：预留网口，可无缝接入实验室管理系统（LIS），实现实验数据实时传输，接口费用包含在本次招标范围内.</w:t>
      </w:r>
    </w:p>
    <w:p w14:paraId="2CF959E7">
      <w:pPr>
        <w:pStyle w:val="2"/>
        <w:rPr>
          <w:rFonts w:hint="eastAsia"/>
          <w:lang w:val="en-US" w:eastAsia="zh-CN"/>
        </w:rPr>
      </w:pPr>
    </w:p>
    <w:p w14:paraId="2CFA658B">
      <w:pPr>
        <w:pStyle w:val="2"/>
        <w:ind w:left="0" w:leftChars="0" w:firstLine="0" w:firstLineChars="0"/>
        <w:rPr>
          <w:rFonts w:hint="default"/>
          <w:lang w:val="en-US"/>
        </w:rPr>
      </w:pPr>
      <w:bookmarkStart w:id="83" w:name="_GoBack"/>
      <w:bookmarkEnd w:id="83"/>
      <w:r>
        <w:rPr>
          <w:rFonts w:hint="eastAsia" w:ascii="宋体" w:hAnsi="宋体"/>
          <w:b/>
          <w:bCs/>
          <w:color w:val="auto"/>
          <w:sz w:val="24"/>
          <w:highlight w:val="none"/>
          <w:lang w:val="en-US" w:eastAsia="zh-CN"/>
        </w:rPr>
        <w:t>注：本次采购的设备所需配套试剂均由采购人原来的试剂配送商配送，不在本次招标范围内。</w:t>
      </w:r>
    </w:p>
    <w:p w14:paraId="320170E5">
      <w:pPr>
        <w:spacing w:line="360" w:lineRule="auto"/>
        <w:jc w:val="center"/>
        <w:outlineLvl w:val="0"/>
        <w:rPr>
          <w:rFonts w:hint="eastAsia" w:ascii="宋体" w:hAnsi="宋体" w:eastAsia="宋体"/>
          <w:b/>
          <w:color w:val="auto"/>
          <w:sz w:val="28"/>
          <w:highlight w:val="none"/>
        </w:rPr>
      </w:pPr>
    </w:p>
    <w:p w14:paraId="51B98A8B">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评标方法和标准（综合评分法）</w:t>
      </w:r>
      <w:bookmarkEnd w:id="32"/>
    </w:p>
    <w:p w14:paraId="354C7511">
      <w:pPr>
        <w:spacing w:line="360" w:lineRule="auto"/>
        <w:ind w:firstLine="437"/>
        <w:outlineLvl w:val="1"/>
        <w:rPr>
          <w:rFonts w:ascii="宋体" w:hAnsi="宋体" w:eastAsia="宋体"/>
          <w:b/>
          <w:color w:val="auto"/>
          <w:sz w:val="24"/>
          <w:highlight w:val="none"/>
        </w:rPr>
      </w:pPr>
      <w:bookmarkStart w:id="33" w:name="_Toc11823"/>
      <w:bookmarkStart w:id="34" w:name="_Toc1246"/>
      <w:r>
        <w:rPr>
          <w:rFonts w:hint="eastAsia" w:ascii="宋体" w:hAnsi="宋体" w:eastAsia="宋体"/>
          <w:b/>
          <w:color w:val="auto"/>
          <w:sz w:val="24"/>
          <w:highlight w:val="none"/>
        </w:rPr>
        <w:t>一、总则</w:t>
      </w:r>
      <w:bookmarkEnd w:id="33"/>
      <w:bookmarkEnd w:id="34"/>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5" w:name="_Toc13117"/>
      <w:bookmarkStart w:id="36" w:name="_Toc31871"/>
      <w:r>
        <w:rPr>
          <w:rFonts w:hint="eastAsia" w:ascii="宋体" w:hAnsi="宋体" w:eastAsia="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45"/>
        <w:gridCol w:w="4550"/>
        <w:gridCol w:w="1911"/>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39" w:type="pct"/>
            <w:tcBorders>
              <w:bottom w:val="single" w:color="auto" w:sz="4" w:space="0"/>
            </w:tcBorders>
            <w:vAlign w:val="center"/>
          </w:tcPr>
          <w:p w14:paraId="2266B3EE">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7"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87"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39"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default" w:ascii="宋体" w:hAnsi="宋体" w:eastAsia="宋体" w:cs="方正仿宋_GB2312"/>
                <w:color w:val="auto"/>
                <w:kern w:val="2"/>
                <w:sz w:val="24"/>
                <w:szCs w:val="28"/>
                <w:highlight w:val="none"/>
                <w:lang w:val="en-US" w:eastAsia="zh-CN" w:bidi="ar-SA"/>
              </w:rPr>
            </w:pPr>
            <w:r>
              <w:rPr>
                <w:rFonts w:hint="default" w:ascii="宋体" w:hAnsi="宋体" w:eastAsia="宋体" w:cs="宋体"/>
                <w:spacing w:val="9"/>
                <w:sz w:val="24"/>
                <w:szCs w:val="24"/>
                <w:highlight w:val="none"/>
              </w:rPr>
              <w:t>营业执照等证明</w:t>
            </w:r>
            <w:r>
              <w:rPr>
                <w:rFonts w:hint="default" w:ascii="宋体" w:hAnsi="宋体" w:eastAsia="宋体" w:cs="宋体"/>
                <w:spacing w:val="-3"/>
                <w:sz w:val="24"/>
                <w:szCs w:val="24"/>
                <w:highlight w:val="none"/>
              </w:rPr>
              <w:t>文件</w:t>
            </w:r>
          </w:p>
        </w:tc>
        <w:tc>
          <w:tcPr>
            <w:tcW w:w="2597"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87" w:type="pct"/>
            <w:vAlign w:val="center"/>
          </w:tcPr>
          <w:p w14:paraId="07C2C43C">
            <w:pPr>
              <w:keepNext w:val="0"/>
              <w:keepLines w:val="0"/>
              <w:suppressLineNumbers w:val="0"/>
              <w:spacing w:before="0" w:beforeAutospacing="0" w:after="0" w:afterAutospacing="0" w:line="360" w:lineRule="auto"/>
              <w:ind w:left="0" w:right="0"/>
              <w:jc w:val="left"/>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39"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97"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7" w:type="pct"/>
            <w:vAlign w:val="center"/>
          </w:tcPr>
          <w:p w14:paraId="1049F80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39"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rPr>
              <w:t>诚信履约承诺函</w:t>
            </w:r>
          </w:p>
        </w:tc>
        <w:tc>
          <w:tcPr>
            <w:tcW w:w="2597"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rPr>
              <w:t>提供符合招标文件要求的《诚信履约承诺函》。</w:t>
            </w:r>
          </w:p>
        </w:tc>
        <w:tc>
          <w:tcPr>
            <w:tcW w:w="1087"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39"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7" w:type="pct"/>
            <w:vAlign w:val="center"/>
          </w:tcPr>
          <w:p w14:paraId="602F3CE0">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lang w:val="zh-CN"/>
              </w:rPr>
              <w:t>投标人不得存在</w:t>
            </w:r>
            <w:r>
              <w:rPr>
                <w:rFonts w:hint="eastAsia" w:ascii="宋体" w:hAnsi="宋体" w:eastAsia="宋体" w:cs="宋体"/>
                <w:sz w:val="24"/>
                <w:szCs w:val="24"/>
              </w:rPr>
              <w:t>投标邀请信誉要求和</w:t>
            </w:r>
            <w:r>
              <w:rPr>
                <w:rFonts w:hint="eastAsia" w:ascii="宋体" w:hAnsi="宋体" w:eastAsia="宋体" w:cs="宋体"/>
                <w:sz w:val="24"/>
                <w:szCs w:val="24"/>
                <w:lang w:val="zh-CN"/>
              </w:rPr>
              <w:t>投标人须知正文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7" w:type="pct"/>
            <w:vAlign w:val="center"/>
          </w:tcPr>
          <w:p w14:paraId="552D7307">
            <w:pPr>
              <w:keepNext w:val="0"/>
              <w:keepLines w:val="0"/>
              <w:suppressLineNumbers w:val="0"/>
              <w:spacing w:before="0" w:beforeAutospacing="0" w:after="0" w:afterAutospacing="0" w:line="360" w:lineRule="auto"/>
              <w:ind w:left="0" w:right="0"/>
              <w:jc w:val="left"/>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rPr>
              <w:t>无须投标人提供，由采购人或采购代理机构查询。</w:t>
            </w:r>
          </w:p>
        </w:tc>
      </w:tr>
      <w:tr w14:paraId="501F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E75C648">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939" w:type="pct"/>
            <w:tcBorders>
              <w:bottom w:val="single" w:color="auto" w:sz="4" w:space="0"/>
            </w:tcBorders>
            <w:vAlign w:val="center"/>
          </w:tcPr>
          <w:p w14:paraId="22E0E47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sz w:val="24"/>
                <w:szCs w:val="24"/>
                <w:lang w:val="zh-CN"/>
              </w:rPr>
              <w:t>本项目的特定资格要求</w:t>
            </w:r>
          </w:p>
        </w:tc>
        <w:tc>
          <w:tcPr>
            <w:tcW w:w="2597" w:type="pct"/>
            <w:tcBorders>
              <w:bottom w:val="single" w:color="auto" w:sz="4" w:space="0"/>
            </w:tcBorders>
            <w:vAlign w:val="center"/>
          </w:tcPr>
          <w:p w14:paraId="7F77D158">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lang w:val="zh-CN"/>
              </w:rPr>
            </w:pPr>
            <w:r>
              <w:rPr>
                <w:rFonts w:hint="eastAsia" w:ascii="宋体" w:hAnsi="宋体" w:eastAsia="宋体" w:cs="宋体"/>
                <w:sz w:val="24"/>
                <w:szCs w:val="24"/>
                <w:lang w:val="zh-CN"/>
              </w:rPr>
              <w:t>投标人为制造商的必须取得国家食品药品监督管理部门颁发的此类设备医疗器械生产许可证，投标人为代理商或经销商应具有有效的中华人民共和国医疗器械经营许可证或医疗器械经营备案凭证；</w:t>
            </w:r>
          </w:p>
        </w:tc>
        <w:tc>
          <w:tcPr>
            <w:tcW w:w="1087" w:type="pct"/>
            <w:tcBorders>
              <w:bottom w:val="single" w:color="auto" w:sz="4" w:space="0"/>
            </w:tcBorders>
            <w:vAlign w:val="center"/>
          </w:tcPr>
          <w:p w14:paraId="4F131BCA">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3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5"/>
        <w:gridCol w:w="3127"/>
        <w:gridCol w:w="3150"/>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18"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155" w:type="pct"/>
            <w:tcBorders>
              <w:bottom w:val="single" w:color="auto" w:sz="4" w:space="0"/>
            </w:tcBorders>
            <w:vAlign w:val="center"/>
          </w:tcPr>
          <w:p w14:paraId="677C5544">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707"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718"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155"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707"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718"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55"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707"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718"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155"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707"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718"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55"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707"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718"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155"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1707" w:type="pct"/>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718"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155"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1707" w:type="pct"/>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718"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155"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1707" w:type="pct"/>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718"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4771EF61">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689453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3C046D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70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tbl>
      <w:tblPr>
        <w:tblStyle w:val="26"/>
        <w:tblW w:w="6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1026"/>
        <w:gridCol w:w="6991"/>
        <w:gridCol w:w="1036"/>
      </w:tblGrid>
      <w:tr w14:paraId="1C64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4" w:type="pct"/>
            <w:tcBorders>
              <w:top w:val="single" w:color="auto" w:sz="4" w:space="0"/>
              <w:left w:val="single" w:color="auto" w:sz="4" w:space="0"/>
              <w:bottom w:val="single" w:color="auto" w:sz="4" w:space="0"/>
              <w:right w:val="single" w:color="auto" w:sz="4" w:space="0"/>
            </w:tcBorders>
            <w:vAlign w:val="center"/>
          </w:tcPr>
          <w:p w14:paraId="1F086A10">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类别</w:t>
            </w:r>
          </w:p>
        </w:tc>
        <w:tc>
          <w:tcPr>
            <w:tcW w:w="490" w:type="pct"/>
            <w:tcBorders>
              <w:top w:val="single" w:color="auto" w:sz="4" w:space="0"/>
              <w:left w:val="single" w:color="auto" w:sz="4" w:space="0"/>
              <w:bottom w:val="single" w:color="auto" w:sz="4" w:space="0"/>
              <w:right w:val="single" w:color="auto" w:sz="4" w:space="0"/>
            </w:tcBorders>
            <w:vAlign w:val="center"/>
          </w:tcPr>
          <w:p w14:paraId="7F69A32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评分内容</w:t>
            </w:r>
          </w:p>
        </w:tc>
        <w:tc>
          <w:tcPr>
            <w:tcW w:w="3340" w:type="pct"/>
            <w:tcBorders>
              <w:top w:val="single" w:color="auto" w:sz="4" w:space="0"/>
              <w:left w:val="single" w:color="auto" w:sz="4" w:space="0"/>
              <w:bottom w:val="single" w:color="auto" w:sz="4" w:space="0"/>
              <w:right w:val="single" w:color="auto" w:sz="4" w:space="0"/>
            </w:tcBorders>
            <w:vAlign w:val="center"/>
          </w:tcPr>
          <w:p w14:paraId="0DEF73D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评分标准</w:t>
            </w:r>
          </w:p>
        </w:tc>
        <w:tc>
          <w:tcPr>
            <w:tcW w:w="494" w:type="pct"/>
            <w:tcBorders>
              <w:top w:val="single" w:color="auto" w:sz="4" w:space="0"/>
              <w:left w:val="single" w:color="auto" w:sz="4" w:space="0"/>
              <w:bottom w:val="single" w:color="auto" w:sz="4" w:space="0"/>
              <w:right w:val="single" w:color="auto" w:sz="4" w:space="0"/>
            </w:tcBorders>
            <w:vAlign w:val="center"/>
          </w:tcPr>
          <w:p w14:paraId="258BBE34">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分值范围</w:t>
            </w:r>
          </w:p>
        </w:tc>
      </w:tr>
      <w:tr w14:paraId="09BB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restart"/>
            <w:tcBorders>
              <w:left w:val="single" w:color="auto" w:sz="4" w:space="0"/>
              <w:right w:val="single" w:color="auto" w:sz="4" w:space="0"/>
            </w:tcBorders>
            <w:vAlign w:val="center"/>
          </w:tcPr>
          <w:p w14:paraId="0893FD5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资信技术分（</w:t>
            </w:r>
            <w:r>
              <w:rPr>
                <w:rFonts w:hint="eastAsia" w:asciiTheme="majorEastAsia" w:hAnsiTheme="majorEastAsia" w:eastAsiaTheme="majorEastAsia" w:cstheme="majorEastAsia"/>
                <w:b w:val="0"/>
                <w:bCs w:val="0"/>
                <w:sz w:val="24"/>
                <w:szCs w:val="24"/>
                <w:lang w:val="en-US" w:eastAsia="zh-CN"/>
              </w:rPr>
              <w:t>7</w:t>
            </w:r>
            <w:r>
              <w:rPr>
                <w:rFonts w:hint="eastAsia" w:asciiTheme="majorEastAsia" w:hAnsiTheme="majorEastAsia" w:eastAsiaTheme="majorEastAsia" w:cstheme="majorEastAsia"/>
                <w:b w:val="0"/>
                <w:bCs w:val="0"/>
                <w:sz w:val="24"/>
                <w:szCs w:val="24"/>
              </w:rPr>
              <w:t>0 分）</w:t>
            </w:r>
          </w:p>
        </w:tc>
        <w:tc>
          <w:tcPr>
            <w:tcW w:w="43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405870">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资信部分（</w:t>
            </w:r>
            <w:r>
              <w:rPr>
                <w:rFonts w:hint="eastAsia" w:asciiTheme="majorEastAsia" w:hAnsiTheme="majorEastAsia" w:eastAsiaTheme="majorEastAsia" w:cstheme="majorEastAsia"/>
                <w:b w:val="0"/>
                <w:bCs w:val="0"/>
                <w:sz w:val="24"/>
                <w:szCs w:val="24"/>
                <w:lang w:val="en-US" w:eastAsia="zh-CN"/>
              </w:rPr>
              <w:t>10</w:t>
            </w:r>
            <w:r>
              <w:rPr>
                <w:rFonts w:hint="eastAsia" w:asciiTheme="majorEastAsia" w:hAnsiTheme="majorEastAsia" w:eastAsiaTheme="majorEastAsia" w:cstheme="majorEastAsia"/>
                <w:b w:val="0"/>
                <w:bCs w:val="0"/>
                <w:sz w:val="24"/>
                <w:szCs w:val="24"/>
              </w:rPr>
              <w:t>分）</w:t>
            </w:r>
          </w:p>
        </w:tc>
      </w:tr>
      <w:tr w14:paraId="5D59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1477D42D">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70D47C85">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投标人业绩</w:t>
            </w:r>
          </w:p>
        </w:tc>
        <w:tc>
          <w:tcPr>
            <w:tcW w:w="3340" w:type="pct"/>
            <w:tcBorders>
              <w:top w:val="single" w:color="auto" w:sz="4" w:space="0"/>
              <w:left w:val="single" w:color="auto" w:sz="4" w:space="0"/>
              <w:bottom w:val="single" w:color="auto" w:sz="4" w:space="0"/>
              <w:right w:val="single" w:color="auto" w:sz="4" w:space="0"/>
            </w:tcBorders>
            <w:shd w:val="clear" w:color="auto" w:fill="auto"/>
          </w:tcPr>
          <w:p w14:paraId="5E9E1C68">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val="en-US" w:eastAsia="zh-CN" w:bidi="ar"/>
              </w:rPr>
              <w:t>自2023年1月1日以来（以合同签订时间为准），具有所投产品供货业绩</w:t>
            </w:r>
            <w:r>
              <w:rPr>
                <w:rFonts w:hint="eastAsia" w:asciiTheme="majorEastAsia" w:hAnsiTheme="majorEastAsia" w:eastAsiaTheme="majorEastAsia" w:cstheme="majorEastAsia"/>
                <w:b w:val="0"/>
                <w:bCs w:val="0"/>
                <w:sz w:val="24"/>
                <w:szCs w:val="24"/>
              </w:rPr>
              <w:t>（此处业绩系指产品业绩，不限合同卖方主体）</w:t>
            </w:r>
            <w:r>
              <w:rPr>
                <w:rFonts w:hint="eastAsia" w:asciiTheme="majorEastAsia" w:hAnsiTheme="majorEastAsia" w:eastAsiaTheme="majorEastAsia" w:cstheme="majorEastAsia"/>
                <w:b w:val="0"/>
                <w:bCs w:val="0"/>
                <w:snapToGrid w:val="0"/>
                <w:kern w:val="0"/>
                <w:sz w:val="24"/>
                <w:szCs w:val="24"/>
                <w:lang w:bidi="ar"/>
              </w:rPr>
              <w:t>，每个业绩得</w:t>
            </w:r>
            <w:r>
              <w:rPr>
                <w:rFonts w:hint="eastAsia" w:asciiTheme="majorEastAsia" w:hAnsiTheme="majorEastAsia" w:eastAsiaTheme="majorEastAsia" w:cstheme="majorEastAsia"/>
                <w:b w:val="0"/>
                <w:bCs w:val="0"/>
                <w:snapToGrid w:val="0"/>
                <w:kern w:val="0"/>
                <w:sz w:val="24"/>
                <w:szCs w:val="24"/>
                <w:lang w:val="en-US" w:eastAsia="zh-CN" w:bidi="ar"/>
              </w:rPr>
              <w:t>5</w:t>
            </w:r>
            <w:r>
              <w:rPr>
                <w:rFonts w:hint="eastAsia" w:asciiTheme="majorEastAsia" w:hAnsiTheme="majorEastAsia" w:eastAsiaTheme="majorEastAsia" w:cstheme="majorEastAsia"/>
                <w:b w:val="0"/>
                <w:bCs w:val="0"/>
                <w:snapToGrid w:val="0"/>
                <w:kern w:val="0"/>
                <w:sz w:val="24"/>
                <w:szCs w:val="24"/>
                <w:lang w:bidi="ar"/>
              </w:rPr>
              <w:t>分，满分</w:t>
            </w:r>
            <w:r>
              <w:rPr>
                <w:rFonts w:hint="eastAsia" w:asciiTheme="majorEastAsia" w:hAnsiTheme="majorEastAsia" w:eastAsiaTheme="majorEastAsia" w:cstheme="majorEastAsia"/>
                <w:b w:val="0"/>
                <w:bCs w:val="0"/>
                <w:snapToGrid w:val="0"/>
                <w:kern w:val="0"/>
                <w:sz w:val="24"/>
                <w:szCs w:val="24"/>
                <w:lang w:val="en-US" w:eastAsia="zh-CN" w:bidi="ar"/>
              </w:rPr>
              <w:t>10</w:t>
            </w:r>
            <w:r>
              <w:rPr>
                <w:rFonts w:hint="eastAsia" w:asciiTheme="majorEastAsia" w:hAnsiTheme="majorEastAsia" w:eastAsiaTheme="majorEastAsia" w:cstheme="majorEastAsia"/>
                <w:b w:val="0"/>
                <w:bCs w:val="0"/>
                <w:snapToGrid w:val="0"/>
                <w:kern w:val="0"/>
                <w:sz w:val="24"/>
                <w:szCs w:val="24"/>
                <w:lang w:bidi="ar"/>
              </w:rPr>
              <w:t>分；</w:t>
            </w:r>
          </w:p>
          <w:p w14:paraId="5C6EE344">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注：业绩有效时间以合同签订时间为准，投标文件中须提供合同扫描件，如合同中无法体现签订时间、服务内容的，须另提供业主单位出具有效的证明材料。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1DF1D19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10</w:t>
            </w:r>
            <w:r>
              <w:rPr>
                <w:rFonts w:hint="eastAsia" w:asciiTheme="majorEastAsia" w:hAnsiTheme="majorEastAsia" w:eastAsiaTheme="majorEastAsia" w:cstheme="majorEastAsia"/>
                <w:b w:val="0"/>
                <w:bCs w:val="0"/>
                <w:sz w:val="24"/>
                <w:szCs w:val="24"/>
              </w:rPr>
              <w:t>分</w:t>
            </w:r>
          </w:p>
        </w:tc>
      </w:tr>
      <w:tr w14:paraId="5382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6B95AED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3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D81FE1">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技术部分（</w:t>
            </w:r>
            <w:r>
              <w:rPr>
                <w:rFonts w:hint="eastAsia" w:asciiTheme="majorEastAsia" w:hAnsiTheme="majorEastAsia" w:eastAsiaTheme="majorEastAsia" w:cstheme="majorEastAsia"/>
                <w:b w:val="0"/>
                <w:bCs w:val="0"/>
                <w:sz w:val="24"/>
                <w:szCs w:val="24"/>
                <w:lang w:val="en-US" w:eastAsia="zh-CN"/>
              </w:rPr>
              <w:t>60</w:t>
            </w:r>
            <w:r>
              <w:rPr>
                <w:rFonts w:hint="eastAsia" w:asciiTheme="majorEastAsia" w:hAnsiTheme="majorEastAsia" w:eastAsiaTheme="majorEastAsia" w:cstheme="majorEastAsia"/>
                <w:b w:val="0"/>
                <w:bCs w:val="0"/>
                <w:sz w:val="24"/>
                <w:szCs w:val="24"/>
              </w:rPr>
              <w:t>分）</w:t>
            </w:r>
          </w:p>
        </w:tc>
      </w:tr>
      <w:tr w14:paraId="1956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51AA275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511E503A">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rPr>
            </w:pPr>
            <w:r>
              <w:rPr>
                <w:rFonts w:hint="eastAsia" w:asciiTheme="majorEastAsia" w:hAnsiTheme="majorEastAsia" w:eastAsiaTheme="majorEastAsia" w:cstheme="majorEastAsia"/>
                <w:b w:val="0"/>
                <w:bCs w:val="0"/>
                <w:snapToGrid w:val="0"/>
                <w:kern w:val="0"/>
                <w:sz w:val="24"/>
                <w:szCs w:val="24"/>
                <w:lang w:bidi="ar"/>
              </w:rPr>
              <w:t>技术参数响应</w:t>
            </w:r>
          </w:p>
        </w:tc>
        <w:tc>
          <w:tcPr>
            <w:tcW w:w="3340" w:type="pct"/>
            <w:tcBorders>
              <w:top w:val="single" w:color="auto" w:sz="4" w:space="0"/>
              <w:left w:val="single" w:color="auto" w:sz="4" w:space="0"/>
              <w:bottom w:val="single" w:color="auto" w:sz="4" w:space="0"/>
              <w:right w:val="single" w:color="auto" w:sz="4" w:space="0"/>
            </w:tcBorders>
            <w:shd w:val="clear" w:color="auto" w:fill="auto"/>
          </w:tcPr>
          <w:p w14:paraId="59299965">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（1）标注“★”的</w:t>
            </w:r>
            <w:r>
              <w:rPr>
                <w:rFonts w:hint="eastAsia" w:asciiTheme="majorEastAsia" w:hAnsiTheme="majorEastAsia" w:eastAsiaTheme="majorEastAsia" w:cstheme="majorEastAsia"/>
                <w:b w:val="0"/>
                <w:bCs w:val="0"/>
                <w:snapToGrid w:val="0"/>
                <w:kern w:val="0"/>
                <w:sz w:val="24"/>
                <w:szCs w:val="24"/>
                <w:lang w:val="en-US" w:eastAsia="zh-CN" w:bidi="ar"/>
              </w:rPr>
              <w:t>为</w:t>
            </w:r>
            <w:r>
              <w:rPr>
                <w:rFonts w:hint="eastAsia" w:asciiTheme="majorEastAsia" w:hAnsiTheme="majorEastAsia" w:eastAsiaTheme="majorEastAsia" w:cstheme="majorEastAsia"/>
                <w:b w:val="0"/>
                <w:bCs w:val="0"/>
                <w:snapToGrid w:val="0"/>
                <w:kern w:val="0"/>
                <w:sz w:val="24"/>
                <w:szCs w:val="24"/>
                <w:lang w:bidi="ar"/>
              </w:rPr>
              <w:t>重要技术参数，</w:t>
            </w:r>
            <w:r>
              <w:rPr>
                <w:rFonts w:hint="eastAsia" w:asciiTheme="majorEastAsia" w:hAnsiTheme="majorEastAsia" w:eastAsiaTheme="majorEastAsia" w:cstheme="majorEastAsia"/>
                <w:b w:val="0"/>
                <w:bCs w:val="0"/>
                <w:snapToGrid w:val="0"/>
                <w:kern w:val="0"/>
                <w:sz w:val="24"/>
                <w:szCs w:val="24"/>
                <w:lang w:val="en-US" w:eastAsia="zh-CN" w:bidi="ar"/>
              </w:rPr>
              <w:t>共7项，</w:t>
            </w:r>
            <w:r>
              <w:rPr>
                <w:rFonts w:hint="eastAsia" w:asciiTheme="majorEastAsia" w:hAnsiTheme="majorEastAsia" w:eastAsiaTheme="majorEastAsia" w:cstheme="majorEastAsia"/>
                <w:b w:val="0"/>
                <w:bCs w:val="0"/>
                <w:snapToGrid w:val="0"/>
                <w:kern w:val="0"/>
                <w:sz w:val="24"/>
                <w:szCs w:val="24"/>
                <w:lang w:bidi="ar"/>
              </w:rPr>
              <w:t>每满足或优于一项</w:t>
            </w:r>
            <w:r>
              <w:rPr>
                <w:rFonts w:hint="eastAsia" w:asciiTheme="majorEastAsia" w:hAnsiTheme="majorEastAsia" w:eastAsiaTheme="majorEastAsia" w:cstheme="majorEastAsia"/>
                <w:b w:val="0"/>
                <w:bCs w:val="0"/>
                <w:snapToGrid w:val="0"/>
                <w:kern w:val="0"/>
                <w:sz w:val="24"/>
                <w:szCs w:val="24"/>
                <w:highlight w:val="none"/>
                <w:lang w:bidi="ar"/>
              </w:rPr>
              <w:t>指标，得</w:t>
            </w:r>
            <w:r>
              <w:rPr>
                <w:rFonts w:hint="eastAsia" w:asciiTheme="majorEastAsia" w:hAnsiTheme="majorEastAsia" w:eastAsiaTheme="majorEastAsia" w:cstheme="majorEastAsia"/>
                <w:b w:val="0"/>
                <w:bCs w:val="0"/>
                <w:snapToGrid w:val="0"/>
                <w:kern w:val="0"/>
                <w:sz w:val="24"/>
                <w:szCs w:val="24"/>
                <w:highlight w:val="none"/>
                <w:lang w:val="en-US" w:eastAsia="zh-CN" w:bidi="ar"/>
              </w:rPr>
              <w:t>3</w:t>
            </w:r>
            <w:r>
              <w:rPr>
                <w:rFonts w:hint="eastAsia" w:asciiTheme="majorEastAsia" w:hAnsiTheme="majorEastAsia" w:eastAsiaTheme="majorEastAsia" w:cstheme="majorEastAsia"/>
                <w:b w:val="0"/>
                <w:bCs w:val="0"/>
                <w:snapToGrid w:val="0"/>
                <w:kern w:val="0"/>
                <w:sz w:val="24"/>
                <w:szCs w:val="24"/>
                <w:highlight w:val="none"/>
                <w:lang w:bidi="ar"/>
              </w:rPr>
              <w:t>分，共计</w:t>
            </w:r>
            <w:r>
              <w:rPr>
                <w:rFonts w:hint="eastAsia" w:asciiTheme="majorEastAsia" w:hAnsiTheme="majorEastAsia" w:eastAsiaTheme="majorEastAsia" w:cstheme="majorEastAsia"/>
                <w:b w:val="0"/>
                <w:bCs w:val="0"/>
                <w:snapToGrid w:val="0"/>
                <w:kern w:val="0"/>
                <w:sz w:val="24"/>
                <w:szCs w:val="24"/>
                <w:highlight w:val="none"/>
                <w:lang w:val="en-US" w:eastAsia="zh-CN" w:bidi="ar"/>
              </w:rPr>
              <w:t>21</w:t>
            </w:r>
            <w:r>
              <w:rPr>
                <w:rFonts w:hint="eastAsia" w:asciiTheme="majorEastAsia" w:hAnsiTheme="majorEastAsia" w:eastAsiaTheme="majorEastAsia" w:cstheme="majorEastAsia"/>
                <w:b w:val="0"/>
                <w:bCs w:val="0"/>
                <w:snapToGrid w:val="0"/>
                <w:kern w:val="0"/>
                <w:sz w:val="24"/>
                <w:szCs w:val="24"/>
                <w:highlight w:val="none"/>
                <w:lang w:bidi="ar"/>
              </w:rPr>
              <w:t>分</w:t>
            </w:r>
            <w:r>
              <w:rPr>
                <w:rFonts w:hint="eastAsia" w:asciiTheme="majorEastAsia" w:hAnsiTheme="majorEastAsia" w:eastAsiaTheme="majorEastAsia" w:cstheme="majorEastAsia"/>
                <w:b w:val="0"/>
                <w:bCs w:val="0"/>
                <w:snapToGrid w:val="0"/>
                <w:kern w:val="0"/>
                <w:sz w:val="24"/>
                <w:szCs w:val="24"/>
                <w:lang w:bidi="ar"/>
              </w:rPr>
              <w:t>。</w:t>
            </w:r>
          </w:p>
          <w:p w14:paraId="03BEB877">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highlight w:val="none"/>
                <w:lang w:bidi="ar"/>
              </w:rPr>
            </w:pPr>
            <w:r>
              <w:rPr>
                <w:rFonts w:hint="eastAsia" w:asciiTheme="majorEastAsia" w:hAnsiTheme="majorEastAsia" w:eastAsiaTheme="majorEastAsia" w:cstheme="majorEastAsia"/>
                <w:b w:val="0"/>
                <w:bCs w:val="0"/>
                <w:snapToGrid w:val="0"/>
                <w:kern w:val="0"/>
                <w:sz w:val="24"/>
                <w:szCs w:val="24"/>
                <w:lang w:bidi="ar"/>
              </w:rPr>
              <w:t>（2）</w:t>
            </w:r>
            <w:r>
              <w:rPr>
                <w:rFonts w:hint="eastAsia" w:asciiTheme="majorEastAsia" w:hAnsiTheme="majorEastAsia" w:eastAsiaTheme="majorEastAsia" w:cstheme="majorEastAsia"/>
                <w:b w:val="0"/>
                <w:bCs w:val="0"/>
                <w:snapToGrid w:val="0"/>
                <w:kern w:val="0"/>
                <w:sz w:val="24"/>
                <w:szCs w:val="24"/>
                <w:highlight w:val="none"/>
                <w:lang w:bidi="ar"/>
              </w:rPr>
              <w:t>非标注“★”项的为一般性参数，共</w:t>
            </w:r>
            <w:r>
              <w:rPr>
                <w:rFonts w:hint="eastAsia" w:asciiTheme="majorEastAsia" w:hAnsiTheme="majorEastAsia" w:eastAsiaTheme="majorEastAsia" w:cstheme="majorEastAsia"/>
                <w:b w:val="0"/>
                <w:bCs w:val="0"/>
                <w:snapToGrid w:val="0"/>
                <w:kern w:val="0"/>
                <w:sz w:val="24"/>
                <w:szCs w:val="24"/>
                <w:highlight w:val="none"/>
                <w:lang w:val="en-US" w:eastAsia="zh-CN" w:bidi="ar"/>
              </w:rPr>
              <w:t>6</w:t>
            </w:r>
            <w:r>
              <w:rPr>
                <w:rFonts w:hint="eastAsia" w:asciiTheme="majorEastAsia" w:hAnsiTheme="majorEastAsia" w:eastAsiaTheme="majorEastAsia" w:cstheme="majorEastAsia"/>
                <w:b w:val="0"/>
                <w:bCs w:val="0"/>
                <w:snapToGrid w:val="0"/>
                <w:kern w:val="0"/>
                <w:sz w:val="24"/>
                <w:szCs w:val="24"/>
                <w:highlight w:val="none"/>
                <w:lang w:bidi="ar"/>
              </w:rPr>
              <w:t>项，每满足或优于一项指标要求得</w:t>
            </w:r>
            <w:r>
              <w:rPr>
                <w:rFonts w:hint="eastAsia" w:asciiTheme="majorEastAsia" w:hAnsiTheme="majorEastAsia" w:eastAsiaTheme="majorEastAsia" w:cstheme="majorEastAsia"/>
                <w:b w:val="0"/>
                <w:bCs w:val="0"/>
                <w:snapToGrid w:val="0"/>
                <w:kern w:val="0"/>
                <w:sz w:val="24"/>
                <w:szCs w:val="24"/>
                <w:highlight w:val="none"/>
                <w:lang w:val="en-US" w:eastAsia="zh-CN" w:bidi="ar"/>
              </w:rPr>
              <w:t>1</w:t>
            </w:r>
            <w:r>
              <w:rPr>
                <w:rFonts w:hint="eastAsia" w:asciiTheme="majorEastAsia" w:hAnsiTheme="majorEastAsia" w:eastAsiaTheme="majorEastAsia" w:cstheme="majorEastAsia"/>
                <w:b w:val="0"/>
                <w:bCs w:val="0"/>
                <w:snapToGrid w:val="0"/>
                <w:kern w:val="0"/>
                <w:sz w:val="24"/>
                <w:szCs w:val="24"/>
                <w:highlight w:val="none"/>
                <w:lang w:bidi="ar"/>
              </w:rPr>
              <w:t>分，负偏离不得分，共</w:t>
            </w:r>
            <w:r>
              <w:rPr>
                <w:rFonts w:hint="eastAsia" w:asciiTheme="majorEastAsia" w:hAnsiTheme="majorEastAsia" w:eastAsiaTheme="majorEastAsia" w:cstheme="majorEastAsia"/>
                <w:b w:val="0"/>
                <w:bCs w:val="0"/>
                <w:snapToGrid w:val="0"/>
                <w:kern w:val="0"/>
                <w:sz w:val="24"/>
                <w:szCs w:val="24"/>
                <w:highlight w:val="none"/>
                <w:lang w:val="en-US" w:eastAsia="zh-CN" w:bidi="ar"/>
              </w:rPr>
              <w:t>6</w:t>
            </w:r>
            <w:r>
              <w:rPr>
                <w:rFonts w:hint="eastAsia" w:asciiTheme="majorEastAsia" w:hAnsiTheme="majorEastAsia" w:eastAsiaTheme="majorEastAsia" w:cstheme="majorEastAsia"/>
                <w:b w:val="0"/>
                <w:bCs w:val="0"/>
                <w:snapToGrid w:val="0"/>
                <w:kern w:val="0"/>
                <w:sz w:val="24"/>
                <w:szCs w:val="24"/>
                <w:highlight w:val="none"/>
                <w:lang w:bidi="ar"/>
              </w:rPr>
              <w:t>分。</w:t>
            </w:r>
          </w:p>
          <w:p w14:paraId="1DDBCB4C">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highlight w:val="none"/>
                <w:lang w:bidi="ar"/>
              </w:rPr>
              <w:t>注：（1）</w:t>
            </w:r>
            <w:r>
              <w:rPr>
                <w:rFonts w:hint="eastAsia" w:asciiTheme="majorEastAsia" w:hAnsiTheme="majorEastAsia" w:eastAsiaTheme="majorEastAsia" w:cstheme="majorEastAsia"/>
                <w:b w:val="0"/>
                <w:bCs w:val="0"/>
                <w:snapToGrid w:val="0"/>
                <w:kern w:val="0"/>
                <w:sz w:val="24"/>
                <w:szCs w:val="24"/>
                <w:lang w:bidi="ar"/>
              </w:rPr>
              <w:t>标注“★”</w:t>
            </w:r>
            <w:r>
              <w:rPr>
                <w:rFonts w:hint="eastAsia" w:asciiTheme="majorEastAsia" w:hAnsiTheme="majorEastAsia" w:eastAsiaTheme="majorEastAsia" w:cstheme="majorEastAsia"/>
                <w:b w:val="0"/>
                <w:bCs w:val="0"/>
                <w:snapToGrid w:val="0"/>
                <w:kern w:val="0"/>
                <w:sz w:val="24"/>
                <w:szCs w:val="24"/>
                <w:highlight w:val="none"/>
                <w:lang w:val="en-US" w:eastAsia="zh-CN" w:bidi="ar"/>
              </w:rPr>
              <w:t>技术</w:t>
            </w:r>
            <w:r>
              <w:rPr>
                <w:rFonts w:hint="eastAsia" w:asciiTheme="majorEastAsia" w:hAnsiTheme="majorEastAsia" w:eastAsiaTheme="majorEastAsia" w:cstheme="majorEastAsia"/>
                <w:b w:val="0"/>
                <w:bCs w:val="0"/>
                <w:snapToGrid w:val="0"/>
                <w:kern w:val="0"/>
                <w:sz w:val="24"/>
                <w:szCs w:val="24"/>
                <w:highlight w:val="none"/>
                <w:lang w:bidi="ar"/>
              </w:rPr>
              <w:t>参</w:t>
            </w:r>
            <w:r>
              <w:rPr>
                <w:rFonts w:hint="eastAsia" w:asciiTheme="majorEastAsia" w:hAnsiTheme="majorEastAsia" w:eastAsiaTheme="majorEastAsia" w:cstheme="majorEastAsia"/>
                <w:b w:val="0"/>
                <w:bCs w:val="0"/>
                <w:snapToGrid w:val="0"/>
                <w:kern w:val="0"/>
                <w:sz w:val="24"/>
                <w:szCs w:val="24"/>
                <w:lang w:bidi="ar"/>
              </w:rPr>
              <w:t>数须提供证明资料，证明材料包括不限于产品彩页、官网截图、技术白皮书、产品说明书、检验报告、测试报告、检测报告或产品注册证书等，否则视为未响应；一般性参数若要求提供承诺或证明材料的（未要求则不需要提供），也须提供证明材料，否则也视为未响应。</w:t>
            </w:r>
          </w:p>
          <w:p w14:paraId="25827E30">
            <w:pPr>
              <w:keepNext/>
              <w:keepLines/>
              <w:pageBreakBefore/>
              <w:widowControl/>
              <w:numPr>
                <w:ilvl w:val="0"/>
                <w:numId w:val="1"/>
              </w:numPr>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以采购需求及技术参数要求提供的证明材料作为评审依据。技术参数响应情况投标人须依据所投产品如实填写，若自填响应或正偏离，供货时实际产品不响应或负偏离，弄虚作假谋取中标资格的，采购人有权上报相关部门，按相关法律处理。</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592A1B0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27</w:t>
            </w:r>
            <w:r>
              <w:rPr>
                <w:rFonts w:hint="eastAsia" w:asciiTheme="majorEastAsia" w:hAnsiTheme="majorEastAsia" w:eastAsiaTheme="majorEastAsia" w:cstheme="majorEastAsia"/>
                <w:b w:val="0"/>
                <w:bCs w:val="0"/>
                <w:sz w:val="24"/>
                <w:szCs w:val="24"/>
              </w:rPr>
              <w:t>分</w:t>
            </w:r>
          </w:p>
        </w:tc>
      </w:tr>
      <w:tr w14:paraId="2C66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5E3B9A0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40CC21C5">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质保期</w:t>
            </w:r>
          </w:p>
        </w:tc>
        <w:tc>
          <w:tcPr>
            <w:tcW w:w="3340" w:type="pct"/>
            <w:tcBorders>
              <w:top w:val="single" w:color="auto" w:sz="4" w:space="0"/>
              <w:left w:val="single" w:color="auto" w:sz="4" w:space="0"/>
              <w:bottom w:val="single" w:color="auto" w:sz="4" w:space="0"/>
              <w:right w:val="single" w:color="auto" w:sz="4" w:space="0"/>
            </w:tcBorders>
            <w:shd w:val="clear" w:color="auto" w:fill="auto"/>
          </w:tcPr>
          <w:p w14:paraId="6A7C30AE">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免费质保期在满足招标文件要求提供质保期三年的基础上，每增加一年得2分（不足一年不加分），最高分4分。</w:t>
            </w:r>
          </w:p>
          <w:p w14:paraId="57317640">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注：以投标响应表为准，提供承诺函放入投标文件（格式自拟）</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179754C6">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0-4分</w:t>
            </w:r>
          </w:p>
        </w:tc>
      </w:tr>
      <w:tr w14:paraId="6CDA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0A9149E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090E3EA6">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val="en-US" w:eastAsia="zh-CN" w:bidi="ar"/>
              </w:rPr>
              <w:t>项目实施方案及</w:t>
            </w:r>
            <w:r>
              <w:rPr>
                <w:rFonts w:hint="eastAsia" w:asciiTheme="majorEastAsia" w:hAnsiTheme="majorEastAsia" w:eastAsiaTheme="majorEastAsia" w:cstheme="majorEastAsia"/>
                <w:b w:val="0"/>
                <w:bCs w:val="0"/>
                <w:snapToGrid w:val="0"/>
                <w:kern w:val="0"/>
                <w:sz w:val="24"/>
                <w:szCs w:val="24"/>
                <w:lang w:bidi="ar"/>
              </w:rPr>
              <w:t>售后服务方案</w:t>
            </w:r>
          </w:p>
        </w:tc>
        <w:tc>
          <w:tcPr>
            <w:tcW w:w="3340" w:type="pct"/>
            <w:tcBorders>
              <w:top w:val="single" w:color="auto" w:sz="4" w:space="0"/>
              <w:left w:val="single" w:color="auto" w:sz="4" w:space="0"/>
              <w:bottom w:val="single" w:color="auto" w:sz="4" w:space="0"/>
              <w:right w:val="single" w:color="auto" w:sz="4" w:space="0"/>
            </w:tcBorders>
            <w:shd w:val="clear" w:color="auto" w:fill="auto"/>
            <w:vAlign w:val="center"/>
          </w:tcPr>
          <w:p w14:paraId="2A90A387">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zh-TW" w:eastAsia="zh-CN"/>
              </w:rPr>
            </w:pPr>
            <w:r>
              <w:rPr>
                <w:rFonts w:hint="eastAsia" w:asciiTheme="majorEastAsia" w:hAnsiTheme="majorEastAsia" w:eastAsiaTheme="majorEastAsia" w:cstheme="majorEastAsia"/>
                <w:b w:val="0"/>
                <w:bCs w:val="0"/>
                <w:sz w:val="24"/>
                <w:szCs w:val="24"/>
                <w:lang w:val="zh-TW" w:eastAsia="zh-CN"/>
              </w:rPr>
              <w:t>在满足招标服务需求的前提下，投标人提供的</w:t>
            </w:r>
            <w:r>
              <w:rPr>
                <w:rFonts w:hint="eastAsia" w:asciiTheme="majorEastAsia" w:hAnsiTheme="majorEastAsia" w:eastAsiaTheme="majorEastAsia" w:cstheme="majorEastAsia"/>
                <w:b w:val="0"/>
                <w:bCs w:val="0"/>
                <w:sz w:val="24"/>
                <w:szCs w:val="24"/>
                <w:lang w:val="en-US" w:eastAsia="zh-CN"/>
              </w:rPr>
              <w:t>项目实施方案和售后服务方案，包括但不限于：项目实施方案、售后服务方案、故障应急处置预案等</w:t>
            </w:r>
            <w:r>
              <w:rPr>
                <w:rFonts w:hint="eastAsia" w:asciiTheme="majorEastAsia" w:hAnsiTheme="majorEastAsia" w:eastAsiaTheme="majorEastAsia" w:cstheme="majorEastAsia"/>
                <w:b w:val="0"/>
                <w:bCs w:val="0"/>
                <w:sz w:val="24"/>
                <w:szCs w:val="24"/>
                <w:lang w:val="zh-TW" w:eastAsia="zh-CN"/>
              </w:rPr>
              <w:t>。</w:t>
            </w:r>
          </w:p>
          <w:p w14:paraId="7EC270FA">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由评标委员会进行评审：</w:t>
            </w:r>
          </w:p>
          <w:p w14:paraId="14AA4F51">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（一）项目实施方案（10分）：</w:t>
            </w:r>
          </w:p>
          <w:p w14:paraId="34B9BEEA">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结合本项目特点，包含但不限于工作计划、工期安排、备品备件安排、人员配备等，依据技术标中项目方案进行综合评审： </w:t>
            </w:r>
          </w:p>
          <w:p w14:paraId="34B11A39">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（1）项目方案思路清晰，方案具体详实，工作计划安排合理，工期符合采购需求，备品备件完备，人员安排充足，工作目标、内容和要求分析合理、全面的，得10分； </w:t>
            </w:r>
          </w:p>
          <w:p w14:paraId="0A7AFFAE">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（2）项目方案思路完整，方案具体合理，工作计划安排能够满足采购需求，工期符合采购需求，备品备件完备，人员安排可以满足项目实施，工作目标、内容和要求分析合理未出现逻辑错误的得8分； </w:t>
            </w:r>
          </w:p>
          <w:p w14:paraId="054B2ADC">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（3）项目方案思路较完整，方案较具体合理，工作计划安排基本能够满足采购需求，工期基本符合采购需求，备品备件不缺失，人员安排较合理，基本满足项目实施的得6分；</w:t>
            </w:r>
          </w:p>
          <w:p w14:paraId="0D54E945">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（4）项目方案有待完善，工作计划安排有待优化，备品备件不足，人员安排有待优化，工作目标、内容和要求有待提升的得4分； </w:t>
            </w:r>
          </w:p>
          <w:p w14:paraId="638736AA">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（5）未提供的不得分。 </w:t>
            </w:r>
          </w:p>
          <w:p w14:paraId="043C6282">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（二）售后服务方案（10分）：</w:t>
            </w:r>
          </w:p>
          <w:p w14:paraId="6F2FA073">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根据售后服务管理制度、维保方式、维保内容、质保期满后的维保费用、时间保证、备品备件供应、售后人员配备等情况进行评分。    </w:t>
            </w:r>
          </w:p>
          <w:p w14:paraId="630562EF">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（1）方案内容详实、表述清晰，售后服务管理制度完善，有具体切实可行的保障措施，售后人员配备充足、故障响应时间短，质保期满后的维保费用科学合理的，得10分；</w:t>
            </w:r>
          </w:p>
          <w:p w14:paraId="5FF898EB">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（2）内容完整、表述清晰，有保障措施，配备售后服务人员，维保费用较为合理的，没有逻辑性和常识性错误的得8分；</w:t>
            </w:r>
          </w:p>
          <w:p w14:paraId="1BB57E09">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（3）内容较完整、表述较清晰，保障措施不缺项，配备售后服务人员基本满足采购需求，维保费用不够合理的得6分；</w:t>
            </w:r>
          </w:p>
          <w:p w14:paraId="14BE0388">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（4）内容简单有待补充，配备售后服务人员不能满足项目需求，且出现了与项目不相关的内容的得4分；</w:t>
            </w:r>
          </w:p>
          <w:p w14:paraId="7D0383D1">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（5）未提供不得分。</w:t>
            </w:r>
          </w:p>
          <w:p w14:paraId="77D2B5AE">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（三）故障应急处置预案（9分）：</w:t>
            </w:r>
          </w:p>
          <w:p w14:paraId="5D7746C6">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结合本项目特点，依据技术标中的项目应急管理方案（包含但不限于对突发事件的预见性、处理措施、响应时间等）进行评审： </w:t>
            </w:r>
          </w:p>
          <w:p w14:paraId="6A2AD4F6">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（1）对突发事件有较强的预见性，预案中职责全面，处理措施完善得当，响应及时的得9分； </w:t>
            </w:r>
          </w:p>
          <w:p w14:paraId="6ADB31A9">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（2）对突发事件有一定的预见性，预案中职责得当、措施合理，能够响应使用需求的得 7分； </w:t>
            </w:r>
          </w:p>
          <w:p w14:paraId="3C2FAC76">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（3）对突发事件预见性不明确，针对性不强，方案内容完整不缺项，处理措施较得当，响应时间基本合理的得5分；</w:t>
            </w:r>
          </w:p>
          <w:p w14:paraId="245440CF">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 对突发事件预见性较弱，方案内容简单，处理措施有待加强，响应时间长的得3分</w:t>
            </w:r>
          </w:p>
          <w:p w14:paraId="37EA5453">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（5）未提供的不得分。</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44BA792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29</w:t>
            </w:r>
            <w:r>
              <w:rPr>
                <w:rFonts w:hint="eastAsia" w:asciiTheme="majorEastAsia" w:hAnsiTheme="majorEastAsia" w:eastAsiaTheme="majorEastAsia" w:cstheme="majorEastAsia"/>
                <w:b w:val="0"/>
                <w:bCs w:val="0"/>
                <w:sz w:val="24"/>
                <w:szCs w:val="24"/>
              </w:rPr>
              <w:t>分</w:t>
            </w:r>
          </w:p>
        </w:tc>
      </w:tr>
      <w:tr w14:paraId="244E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tcBorders>
              <w:left w:val="single" w:color="auto" w:sz="4" w:space="0"/>
              <w:right w:val="single" w:color="auto" w:sz="4" w:space="0"/>
            </w:tcBorders>
            <w:vAlign w:val="center"/>
          </w:tcPr>
          <w:p w14:paraId="4CAAABC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价格分</w:t>
            </w:r>
          </w:p>
          <w:p w14:paraId="52E8272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sz w:val="24"/>
                <w:szCs w:val="24"/>
                <w:u w:val="single"/>
                <w:lang w:val="en-US" w:eastAsia="zh-CN"/>
              </w:rPr>
              <w:t>3</w:t>
            </w:r>
            <w:r>
              <w:rPr>
                <w:rFonts w:hint="eastAsia" w:asciiTheme="majorEastAsia" w:hAnsiTheme="majorEastAsia" w:eastAsiaTheme="majorEastAsia" w:cstheme="majorEastAsia"/>
                <w:b w:val="0"/>
                <w:bCs w:val="0"/>
                <w:sz w:val="24"/>
                <w:szCs w:val="24"/>
                <w:u w:val="single"/>
              </w:rPr>
              <w:t>0</w:t>
            </w:r>
            <w:r>
              <w:rPr>
                <w:rFonts w:hint="eastAsia" w:asciiTheme="majorEastAsia" w:hAnsiTheme="majorEastAsia" w:eastAsiaTheme="majorEastAsia" w:cstheme="majorEastAsia"/>
                <w:b w:val="0"/>
                <w:bCs w:val="0"/>
                <w:sz w:val="24"/>
                <w:szCs w:val="24"/>
              </w:rPr>
              <w:t>分）</w:t>
            </w:r>
          </w:p>
        </w:tc>
        <w:tc>
          <w:tcPr>
            <w:tcW w:w="4325" w:type="pct"/>
            <w:gridSpan w:val="3"/>
            <w:tcBorders>
              <w:top w:val="single" w:color="auto" w:sz="4" w:space="0"/>
              <w:left w:val="single" w:color="auto" w:sz="4" w:space="0"/>
              <w:bottom w:val="single" w:color="auto" w:sz="4" w:space="0"/>
              <w:right w:val="single" w:color="auto" w:sz="4" w:space="0"/>
            </w:tcBorders>
            <w:vAlign w:val="center"/>
          </w:tcPr>
          <w:p w14:paraId="437D20D6">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1、设备：设备价格分统一采用低价优先法，即满足招标文件要求且投标价格最低的投标报价为评标基准价，其价格分为满分</w:t>
            </w:r>
            <w:r>
              <w:rPr>
                <w:rFonts w:hint="eastAsia"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u w:val="single"/>
              </w:rPr>
              <w:t>0</w:t>
            </w:r>
            <w:r>
              <w:rPr>
                <w:rFonts w:hint="eastAsia" w:asciiTheme="majorEastAsia" w:hAnsiTheme="majorEastAsia" w:eastAsiaTheme="majorEastAsia" w:cstheme="majorEastAsia"/>
                <w:b w:val="0"/>
                <w:bCs w:val="0"/>
                <w:sz w:val="24"/>
                <w:szCs w:val="24"/>
              </w:rPr>
              <w:t>分。其他投标人的价格分统一按照下列公式计算：</w:t>
            </w:r>
          </w:p>
          <w:p w14:paraId="3A2F7F12">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投标报价得分＝（评标基准价/投标报价）×</w:t>
            </w:r>
            <w:r>
              <w:rPr>
                <w:rFonts w:hint="eastAsia"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u w:val="single"/>
              </w:rPr>
              <w:t>0</w:t>
            </w:r>
            <w:r>
              <w:rPr>
                <w:rFonts w:hint="eastAsia" w:asciiTheme="majorEastAsia" w:hAnsiTheme="majorEastAsia" w:eastAsiaTheme="majorEastAsia" w:cstheme="majorEastAsia"/>
                <w:b w:val="0"/>
                <w:bCs w:val="0"/>
                <w:sz w:val="24"/>
                <w:szCs w:val="24"/>
              </w:rPr>
              <w:t>％×100</w:t>
            </w:r>
          </w:p>
        </w:tc>
      </w:tr>
    </w:tbl>
    <w:p w14:paraId="489449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56D2A5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2EBC88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25BC065C">
      <w:pPr>
        <w:spacing w:line="360" w:lineRule="auto"/>
        <w:jc w:val="center"/>
        <w:outlineLvl w:val="0"/>
        <w:rPr>
          <w:rFonts w:hint="eastAsia" w:ascii="宋体" w:hAnsi="宋体" w:eastAsia="宋体"/>
          <w:b/>
          <w:color w:val="auto"/>
          <w:sz w:val="28"/>
          <w:highlight w:val="none"/>
        </w:rPr>
      </w:pPr>
      <w:bookmarkStart w:id="37" w:name="_Toc4682"/>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7"/>
    </w:p>
    <w:p w14:paraId="18AAEAE2">
      <w:pPr>
        <w:pStyle w:val="12"/>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567C9E39">
      <w:pPr>
        <w:pStyle w:val="1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1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1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12"/>
        <w:rPr>
          <w:rFonts w:hint="eastAsia" w:ascii="宋体" w:hAnsi="宋体" w:eastAsia="宋体" w:cs="宋体"/>
          <w:b/>
          <w:bCs/>
          <w:spacing w:val="-20"/>
          <w:kern w:val="44"/>
          <w:sz w:val="24"/>
          <w:szCs w:val="24"/>
          <w:highlight w:val="none"/>
        </w:rPr>
      </w:pPr>
    </w:p>
    <w:p w14:paraId="51F5EB01">
      <w:pPr>
        <w:pStyle w:val="12"/>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12"/>
        <w:pageBreakBefore w:val="0"/>
        <w:kinsoku/>
        <w:wordWrap/>
        <w:overflowPunct/>
        <w:topLinePunct w:val="0"/>
        <w:bidi w:val="0"/>
        <w:spacing w:line="360" w:lineRule="auto"/>
        <w:textAlignment w:val="auto"/>
        <w:rPr>
          <w:rFonts w:hint="eastAsia"/>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滁州市第二人民医院（市传染病医院、市精神病医院）</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E9DE853">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方正仿宋_GB2312"/>
          <w:b/>
          <w:color w:val="000000"/>
          <w:sz w:val="24"/>
          <w:szCs w:val="20"/>
          <w:highlight w:val="none"/>
        </w:rPr>
      </w:pPr>
      <w:bookmarkStart w:id="38" w:name="_Toc22209"/>
      <w:r>
        <w:rPr>
          <w:rFonts w:hint="eastAsia" w:ascii="宋体" w:hAnsi="宋体" w:eastAsia="宋体" w:cs="方正仿宋_GB2312"/>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lang w:eastAsia="zh-CN"/>
        </w:rPr>
        <w:t>滁州市第二人民医院（市传染病医院、市精神病医院）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3"/>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3"/>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滁州市第二人民医院血细胞分析仪采购项目</w:t>
      </w:r>
      <w:r>
        <w:rPr>
          <w:rFonts w:hint="eastAsia" w:ascii="宋体" w:hAnsi="宋体" w:eastAsia="宋体" w:cs="宋体"/>
          <w:sz w:val="24"/>
          <w:szCs w:val="24"/>
          <w:highlight w:val="none"/>
          <w:u w:val="single"/>
        </w:rPr>
        <w:t xml:space="preserve"> </w:t>
      </w:r>
    </w:p>
    <w:p w14:paraId="0FE71B97">
      <w:pPr>
        <w:pStyle w:val="3"/>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CZEY-2025017</w:t>
      </w:r>
      <w:r>
        <w:rPr>
          <w:rFonts w:hint="eastAsia" w:ascii="宋体" w:hAnsi="宋体" w:eastAsia="宋体" w:cs="宋体"/>
          <w:sz w:val="24"/>
          <w:szCs w:val="24"/>
          <w:highlight w:val="none"/>
          <w:u w:val="single"/>
        </w:rPr>
        <w:t xml:space="preserve"> </w:t>
      </w:r>
    </w:p>
    <w:p w14:paraId="69DCEF1D">
      <w:pPr>
        <w:pStyle w:val="3"/>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47C65E06">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4"/>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3B4467EF">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滁州市第二人民医院（市传染病医院、市精神病医院）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21EBC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BAB93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5BB2BD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1C4D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2FA798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7"/>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方正仿宋_GB2312"/>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1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1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12"/>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12"/>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8"/>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7"/>
        <w:pageBreakBefore w:val="0"/>
        <w:kinsoku/>
        <w:wordWrap/>
        <w:overflowPunct/>
        <w:topLinePunct w:val="0"/>
        <w:bidi w:val="0"/>
        <w:adjustRightInd w:val="0"/>
        <w:snapToGrid w:val="0"/>
        <w:spacing w:before="156" w:beforeLines="50" w:line="360" w:lineRule="auto"/>
        <w:jc w:val="center"/>
        <w:textAlignment w:val="auto"/>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1"/>
    <w:p w14:paraId="7508720A">
      <w:pPr>
        <w:pStyle w:val="7"/>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bookmarkStart w:id="42" w:name="_Toc22492"/>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p>
    <w:tbl>
      <w:tblPr>
        <w:tblStyle w:val="26"/>
        <w:tblW w:w="912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777"/>
      </w:tblGrid>
      <w:tr w14:paraId="0C65A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F5E8F8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8559C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3DC257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777" w:type="dxa"/>
            <w:vAlign w:val="center"/>
          </w:tcPr>
          <w:p w14:paraId="074AA40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 w:val="24"/>
                <w:szCs w:val="24"/>
                <w:highlight w:val="none"/>
              </w:rPr>
              <w:t>不接受联合体</w:t>
            </w:r>
          </w:p>
        </w:tc>
      </w:tr>
      <w:tr w14:paraId="30DFE9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4D1A5C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ACA5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788FDD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777" w:type="dxa"/>
            <w:vAlign w:val="center"/>
          </w:tcPr>
          <w:p w14:paraId="626ED6B9">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无</w:t>
            </w:r>
          </w:p>
        </w:tc>
      </w:tr>
      <w:tr w14:paraId="1039E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D661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3C1DF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4E5381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777" w:type="dxa"/>
            <w:vAlign w:val="center"/>
          </w:tcPr>
          <w:p w14:paraId="44C071A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5个工作日</w:t>
            </w:r>
          </w:p>
        </w:tc>
      </w:tr>
      <w:tr w14:paraId="3E6F96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D3349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A2748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0F8129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777" w:type="dxa"/>
            <w:vAlign w:val="center"/>
          </w:tcPr>
          <w:p w14:paraId="210B684D">
            <w:pPr>
              <w:pStyle w:val="22"/>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(1)在合同生效后，非因产品质量问题，买方要求退货的，应向卖方偿付合同总价款的5%，作为违约金，违约金不足以补偿损失的，卖方有权要求甲方补足。</w:t>
            </w:r>
          </w:p>
          <w:p w14:paraId="18BF2473">
            <w:pPr>
              <w:pStyle w:val="22"/>
              <w:keepNext w:val="0"/>
              <w:keepLines w:val="0"/>
              <w:suppressLineNumbers w:val="0"/>
              <w:overflowPunct w:val="0"/>
              <w:adjustRightInd w:val="0"/>
              <w:spacing w:before="0" w:beforeAutospacing="0" w:after="0" w:afterAutospacing="0" w:line="300" w:lineRule="exact"/>
              <w:ind w:left="0" w:right="-334" w:rightChars="-159"/>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(2)买方逾期付款的应按照逾期付款金额的每天万分之四支付逾期付款违约金。</w:t>
            </w:r>
          </w:p>
          <w:p w14:paraId="408ACEF9">
            <w:pPr>
              <w:pStyle w:val="22"/>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1"/>
                <w:szCs w:val="21"/>
                <w:highlight w:val="none"/>
              </w:rPr>
              <w:t>(3)买方违反合同规定，无正当理由拒绝接收卖方交付的符合招标文件要求的合格标的物，应当承担卖方由此造成的损失。</w:t>
            </w:r>
          </w:p>
        </w:tc>
      </w:tr>
      <w:tr w14:paraId="2401E2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2174A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4969D92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0F90E41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777" w:type="dxa"/>
            <w:vAlign w:val="center"/>
          </w:tcPr>
          <w:p w14:paraId="2FFADA33">
            <w:pPr>
              <w:pStyle w:val="22"/>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018DE402">
            <w:pPr>
              <w:pStyle w:val="22"/>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p w14:paraId="73D40F0B">
            <w:pPr>
              <w:keepNext w:val="0"/>
              <w:keepLines w:val="0"/>
              <w:suppressLineNumbers w:val="0"/>
              <w:spacing w:before="0" w:beforeAutospacing="0" w:after="0" w:afterAutospacing="0" w:line="300" w:lineRule="exact"/>
              <w:ind w:left="0" w:right="0"/>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tc>
      </w:tr>
      <w:tr w14:paraId="17488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195EE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5C4A6CC4">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0BE880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777" w:type="dxa"/>
            <w:vAlign w:val="center"/>
          </w:tcPr>
          <w:p w14:paraId="69C1B47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同时履行</w:t>
            </w:r>
          </w:p>
        </w:tc>
      </w:tr>
      <w:tr w14:paraId="38C63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7AA10F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67BCF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3B49E4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777" w:type="dxa"/>
            <w:vAlign w:val="center"/>
          </w:tcPr>
          <w:p w14:paraId="7E4AD4A4">
            <w:pPr>
              <w:pStyle w:val="10"/>
              <w:keepNext w:val="0"/>
              <w:keepLines w:val="0"/>
              <w:suppressLineNumbers w:val="0"/>
              <w:tabs>
                <w:tab w:val="left" w:pos="900"/>
              </w:tabs>
              <w:spacing w:before="0" w:beforeAutospacing="0" w:after="0" w:afterAutospacing="0" w:line="300" w:lineRule="exact"/>
              <w:ind w:left="0" w:right="0" w:firstLine="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2"/>
                <w:sz w:val="21"/>
                <w:szCs w:val="21"/>
                <w:highlight w:val="none"/>
              </w:rPr>
              <w:t>按照通用的方式包装，没有通用方式的，应当采取足以保护标的物的包装方式。</w:t>
            </w:r>
          </w:p>
        </w:tc>
      </w:tr>
      <w:tr w14:paraId="48CF3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0C401E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742" w:type="dxa"/>
            <w:vAlign w:val="center"/>
          </w:tcPr>
          <w:p w14:paraId="548B92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777" w:type="dxa"/>
            <w:vAlign w:val="center"/>
          </w:tcPr>
          <w:p w14:paraId="2789B8B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滁州市范围内</w:t>
            </w:r>
          </w:p>
        </w:tc>
      </w:tr>
      <w:tr w14:paraId="3400C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6D7190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693BFD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6C8B5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777" w:type="dxa"/>
            <w:vAlign w:val="center"/>
          </w:tcPr>
          <w:p w14:paraId="7FA295D3">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754AA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117BF0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C4394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68A2F4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777" w:type="dxa"/>
            <w:vAlign w:val="center"/>
          </w:tcPr>
          <w:p w14:paraId="25FDB0BE">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Cs w:val="21"/>
                <w:highlight w:val="none"/>
              </w:rPr>
              <w:t>按规定购买保险</w:t>
            </w:r>
          </w:p>
        </w:tc>
      </w:tr>
      <w:tr w14:paraId="7CD87D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F560E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67E0B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7621C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777" w:type="dxa"/>
            <w:vAlign w:val="center"/>
          </w:tcPr>
          <w:p w14:paraId="6770EA2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szCs w:val="21"/>
                <w:highlight w:val="none"/>
              </w:rPr>
              <w:t>中标人须</w:t>
            </w:r>
            <w:r>
              <w:rPr>
                <w:rFonts w:hint="eastAsia" w:ascii="宋体" w:hAnsi="宋体" w:eastAsia="宋体" w:cs="宋体"/>
                <w:b/>
                <w:bCs/>
                <w:szCs w:val="21"/>
                <w:highlight w:val="none"/>
                <w:lang w:val="en-US" w:eastAsia="zh-CN"/>
              </w:rPr>
              <w:t>至少提供</w:t>
            </w:r>
            <w:r>
              <w:rPr>
                <w:rFonts w:hint="eastAsia" w:ascii="宋体" w:hAnsi="宋体" w:eastAsia="宋体" w:cs="宋体"/>
                <w:b/>
                <w:bCs/>
                <w:szCs w:val="21"/>
                <w:highlight w:val="none"/>
              </w:rPr>
              <w:t>软硬件质保期三年免费质量保证（具体以中标人承诺的期限为准），所有质保费用均已包含在投标报价中，含设备维护、技术咨询以及其他相关维护保障工作，确保满足本项目内容的稳定、正常运行应用以及功能完善的需要。质保期满后，应提供优先的有偿售后服务及按不高于投标文件中主要配件、易损件清单所报价格供应原厂零配件等。</w:t>
            </w:r>
          </w:p>
        </w:tc>
      </w:tr>
      <w:tr w14:paraId="26478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84F464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420F8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3C04BD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F920E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777" w:type="dxa"/>
            <w:vAlign w:val="center"/>
          </w:tcPr>
          <w:p w14:paraId="1BE025B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12小时</w:t>
            </w:r>
          </w:p>
        </w:tc>
      </w:tr>
      <w:tr w14:paraId="3703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6060FB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5ACD69BD">
            <w:pPr>
              <w:pStyle w:val="62"/>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697682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777" w:type="dxa"/>
            <w:vAlign w:val="center"/>
          </w:tcPr>
          <w:p w14:paraId="52EC64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39F36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380521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7A238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3CCAFB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777" w:type="dxa"/>
            <w:vAlign w:val="center"/>
          </w:tcPr>
          <w:p w14:paraId="733726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Times New Roman" w:eastAsia="宋体" w:cs="Times New Roman"/>
                <w:b/>
                <w:bCs/>
                <w:color w:val="auto"/>
                <w:szCs w:val="21"/>
                <w:highlight w:val="none"/>
                <w:lang w:val="en-US" w:eastAsia="zh-CN"/>
              </w:rPr>
              <w:t>项目供货完成并经采购单位验收合格后一次性付清合同价款。</w:t>
            </w:r>
          </w:p>
        </w:tc>
      </w:tr>
      <w:tr w14:paraId="684D97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59D575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D8043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0AA47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777" w:type="dxa"/>
            <w:vAlign w:val="center"/>
          </w:tcPr>
          <w:p w14:paraId="5CE3AF43">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79E285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F237E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05D1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0FF563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777" w:type="dxa"/>
            <w:vAlign w:val="center"/>
          </w:tcPr>
          <w:p w14:paraId="00C49C22">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5579B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5E381A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36ED1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612B11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777" w:type="dxa"/>
            <w:vAlign w:val="center"/>
          </w:tcPr>
          <w:p w14:paraId="2677770B">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建立完善的售后服务体系，提供及时、高效的维修服务，确保设备的正常使用。同时，为建设及使用单位提供相关技术咨询和解决方案，满足用户的需求。</w:t>
            </w:r>
          </w:p>
        </w:tc>
      </w:tr>
      <w:tr w14:paraId="55EEC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25E8C5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E1C2D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78FE7A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777" w:type="dxa"/>
            <w:vAlign w:val="center"/>
          </w:tcPr>
          <w:p w14:paraId="09C686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无</w:t>
            </w:r>
          </w:p>
        </w:tc>
      </w:tr>
      <w:tr w14:paraId="3A4007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38EBE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46FC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5AD728D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777" w:type="dxa"/>
            <w:vAlign w:val="center"/>
          </w:tcPr>
          <w:p w14:paraId="2DA90DB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按招标文件执行</w:t>
            </w:r>
          </w:p>
        </w:tc>
      </w:tr>
      <w:tr w14:paraId="360719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1A31A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7BE5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3D5E48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777" w:type="dxa"/>
            <w:vAlign w:val="center"/>
          </w:tcPr>
          <w:p w14:paraId="625625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保修期内两次修理仍不能正常使用的的必须更换新设备。</w:t>
            </w:r>
          </w:p>
        </w:tc>
      </w:tr>
      <w:tr w14:paraId="066C1E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C8A14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CD95F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388AB8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777" w:type="dxa"/>
            <w:vAlign w:val="center"/>
          </w:tcPr>
          <w:p w14:paraId="08151B9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6A061F35">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308448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5711F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AB296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415FB4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777" w:type="dxa"/>
            <w:vAlign w:val="center"/>
          </w:tcPr>
          <w:p w14:paraId="247FEC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u w:val="single"/>
              </w:rPr>
            </w:pPr>
            <w:r>
              <w:rPr>
                <w:rFonts w:hint="eastAsia" w:ascii="宋体" w:hAnsi="宋体" w:eastAsia="宋体" w:cs="宋体"/>
                <w:szCs w:val="21"/>
                <w:highlight w:val="none"/>
              </w:rPr>
              <w:t>无</w:t>
            </w:r>
          </w:p>
        </w:tc>
      </w:tr>
      <w:tr w14:paraId="58F7A9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410996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34248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2D9E4D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777" w:type="dxa"/>
            <w:tcBorders>
              <w:left w:val="single" w:color="auto" w:sz="2" w:space="0"/>
              <w:bottom w:val="single" w:color="auto" w:sz="2" w:space="0"/>
            </w:tcBorders>
            <w:vAlign w:val="center"/>
          </w:tcPr>
          <w:p w14:paraId="6B19AC2C">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szCs w:val="21"/>
                <w:highlight w:val="none"/>
              </w:rPr>
              <w:t>合同一方不履行合同义务或者履行合同义务不符合约定的，应当承担继续履行、采取补救措施或者赔偿损失等违约责任。</w:t>
            </w:r>
          </w:p>
        </w:tc>
      </w:tr>
      <w:tr w14:paraId="78BE08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6889F5B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836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5AB292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777" w:type="dxa"/>
            <w:tcBorders>
              <w:top w:val="single" w:color="auto" w:sz="2" w:space="0"/>
              <w:left w:val="single" w:color="auto" w:sz="2" w:space="0"/>
            </w:tcBorders>
            <w:vAlign w:val="center"/>
          </w:tcPr>
          <w:p w14:paraId="6487484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因本合同及合同有关事项发生的争议，按下列第（1）种方式解决：</w:t>
            </w:r>
          </w:p>
          <w:p w14:paraId="0F87819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（1）向滁州市仲裁委员会申请仲裁，仲裁地点为滁州市；</w:t>
            </w:r>
          </w:p>
          <w:p w14:paraId="639B831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（2）向 甲方注册地有管辖权的人民法院起诉。</w:t>
            </w:r>
          </w:p>
        </w:tc>
      </w:tr>
      <w:tr w14:paraId="3F829A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382723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7984E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7A1D8F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777" w:type="dxa"/>
            <w:vAlign w:val="center"/>
          </w:tcPr>
          <w:p w14:paraId="74454D6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lang w:val="en-US" w:eastAsia="zh-CN"/>
              </w:rPr>
            </w:pPr>
            <w:r>
              <w:rPr>
                <w:rFonts w:hint="eastAsia" w:ascii="宋体" w:hAnsi="宋体" w:eastAsia="宋体" w:cs="宋体"/>
                <w:bCs/>
                <w:szCs w:val="21"/>
                <w:highlight w:val="none"/>
              </w:rPr>
              <w:t>合同未尽事项签订合同时补充</w:t>
            </w:r>
          </w:p>
        </w:tc>
      </w:tr>
    </w:tbl>
    <w:p w14:paraId="5CCC7891">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8EC95B3">
      <w:pPr>
        <w:pStyle w:val="2"/>
        <w:rPr>
          <w:rFonts w:hint="eastAsia" w:ascii="宋体" w:hAnsi="宋体" w:eastAsia="宋体"/>
          <w:b/>
          <w:color w:val="auto"/>
          <w:sz w:val="28"/>
          <w:highlight w:val="none"/>
        </w:rPr>
      </w:pPr>
    </w:p>
    <w:p w14:paraId="0E5153F8">
      <w:pPr>
        <w:rPr>
          <w:rFonts w:hint="eastAsia" w:ascii="宋体" w:hAnsi="宋体" w:eastAsia="宋体"/>
          <w:b/>
          <w:color w:val="auto"/>
          <w:sz w:val="28"/>
          <w:highlight w:val="none"/>
        </w:rPr>
      </w:pPr>
    </w:p>
    <w:p w14:paraId="4E9ABD0B">
      <w:pPr>
        <w:pStyle w:val="2"/>
        <w:rPr>
          <w:rFonts w:hint="eastAsia" w:ascii="宋体" w:hAnsi="宋体" w:eastAsia="宋体"/>
          <w:b/>
          <w:color w:val="auto"/>
          <w:sz w:val="28"/>
          <w:highlight w:val="none"/>
        </w:rPr>
      </w:pPr>
    </w:p>
    <w:p w14:paraId="39A3F83B">
      <w:pPr>
        <w:rPr>
          <w:rFonts w:hint="eastAsia" w:ascii="宋体" w:hAnsi="宋体" w:eastAsia="宋体"/>
          <w:b/>
          <w:color w:val="auto"/>
          <w:sz w:val="28"/>
          <w:highlight w:val="none"/>
        </w:rPr>
      </w:pPr>
    </w:p>
    <w:p w14:paraId="083795AF">
      <w:pPr>
        <w:pStyle w:val="2"/>
        <w:rPr>
          <w:rFonts w:hint="eastAsia" w:ascii="宋体" w:hAnsi="宋体" w:eastAsia="宋体"/>
          <w:b/>
          <w:color w:val="auto"/>
          <w:sz w:val="28"/>
          <w:highlight w:val="none"/>
        </w:rPr>
      </w:pPr>
    </w:p>
    <w:p w14:paraId="7D81FE96">
      <w:pPr>
        <w:rPr>
          <w:rFonts w:hint="eastAsia" w:ascii="宋体" w:hAnsi="宋体" w:eastAsia="宋体"/>
          <w:b/>
          <w:color w:val="auto"/>
          <w:sz w:val="28"/>
          <w:highlight w:val="none"/>
        </w:rPr>
      </w:pPr>
    </w:p>
    <w:p w14:paraId="60F9BF29">
      <w:pPr>
        <w:pStyle w:val="2"/>
        <w:rPr>
          <w:rFonts w:hint="eastAsia" w:ascii="宋体" w:hAnsi="宋体" w:eastAsia="宋体"/>
          <w:b/>
          <w:color w:val="auto"/>
          <w:sz w:val="28"/>
          <w:highlight w:val="none"/>
        </w:rPr>
      </w:pPr>
    </w:p>
    <w:p w14:paraId="559B9A9A">
      <w:pPr>
        <w:rPr>
          <w:rFonts w:hint="eastAsia" w:ascii="宋体" w:hAnsi="宋体" w:eastAsia="宋体"/>
          <w:b/>
          <w:color w:val="auto"/>
          <w:sz w:val="28"/>
          <w:highlight w:val="none"/>
        </w:rPr>
      </w:pPr>
    </w:p>
    <w:p w14:paraId="005BC5D3">
      <w:pPr>
        <w:pStyle w:val="2"/>
        <w:rPr>
          <w:rFonts w:hint="eastAsia" w:ascii="宋体" w:hAnsi="宋体" w:eastAsia="宋体"/>
          <w:b/>
          <w:color w:val="auto"/>
          <w:sz w:val="28"/>
          <w:highlight w:val="none"/>
        </w:rPr>
      </w:pPr>
    </w:p>
    <w:p w14:paraId="193B7FAC">
      <w:pPr>
        <w:rPr>
          <w:rFonts w:hint="eastAsia"/>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2"/>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43" w:name="_Toc651"/>
      <w:r>
        <w:rPr>
          <w:rFonts w:hint="eastAsia" w:ascii="宋体" w:hAnsi="宋体" w:eastAsia="宋体"/>
          <w:b/>
          <w:color w:val="auto"/>
          <w:sz w:val="72"/>
          <w:highlight w:val="none"/>
        </w:rPr>
        <w:t>投</w:t>
      </w:r>
      <w:bookmarkEnd w:id="43"/>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44" w:name="_Toc6148"/>
      <w:r>
        <w:rPr>
          <w:rFonts w:hint="eastAsia" w:ascii="宋体" w:hAnsi="宋体" w:eastAsia="宋体"/>
          <w:b/>
          <w:color w:val="auto"/>
          <w:sz w:val="72"/>
          <w:highlight w:val="none"/>
        </w:rPr>
        <w:t>标</w:t>
      </w:r>
      <w:bookmarkEnd w:id="44"/>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45" w:name="_Toc1338"/>
      <w:r>
        <w:rPr>
          <w:rFonts w:hint="eastAsia" w:ascii="宋体" w:hAnsi="宋体" w:eastAsia="宋体"/>
          <w:b/>
          <w:color w:val="auto"/>
          <w:sz w:val="72"/>
          <w:highlight w:val="none"/>
        </w:rPr>
        <w:t>文</w:t>
      </w:r>
      <w:bookmarkEnd w:id="45"/>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46" w:name="_Toc10796"/>
      <w:r>
        <w:rPr>
          <w:rFonts w:hint="eastAsia" w:ascii="宋体" w:hAnsi="宋体" w:eastAsia="宋体"/>
          <w:b/>
          <w:color w:val="auto"/>
          <w:sz w:val="72"/>
          <w:highlight w:val="none"/>
        </w:rPr>
        <w:t>件</w:t>
      </w:r>
      <w:bookmarkEnd w:id="46"/>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47" w:name="_Toc9994"/>
      <w:bookmarkStart w:id="48"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7"/>
      <w:bookmarkEnd w:id="48"/>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0A0D2D85">
      <w:pPr>
        <w:numPr>
          <w:ilvl w:val="0"/>
          <w:numId w:val="9"/>
        </w:num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法定代表人身份证明文件及其有效身份证（或法人代表授权委托书及其有效身份证）；（格式见附件）</w:t>
      </w:r>
    </w:p>
    <w:p w14:paraId="26FD28EB">
      <w:pPr>
        <w:numPr>
          <w:ilvl w:val="0"/>
          <w:numId w:val="9"/>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技术响应表；（格式见附件）</w:t>
      </w:r>
    </w:p>
    <w:p w14:paraId="5908160F">
      <w:pPr>
        <w:numPr>
          <w:ilvl w:val="0"/>
          <w:numId w:val="9"/>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投标人资格声明书；（格式见附件）</w:t>
      </w:r>
    </w:p>
    <w:p w14:paraId="216F0E5A">
      <w:pPr>
        <w:numPr>
          <w:ilvl w:val="0"/>
          <w:numId w:val="9"/>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591E780C">
      <w:pPr>
        <w:numPr>
          <w:ilvl w:val="0"/>
          <w:numId w:val="9"/>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诚信投标承诺书；（格式见附件）</w:t>
      </w:r>
    </w:p>
    <w:p w14:paraId="25069FE8">
      <w:pPr>
        <w:numPr>
          <w:ilvl w:val="0"/>
          <w:numId w:val="9"/>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的特定资格要求：投标人为制造商的必须取得国家食品药品监督管理部门颁发的此类设备医疗器械生产许可证，投标人为代理商或经销商应具有有效的中华人民共和国医疗器械经营许可证或医疗器械经营备案凭证；</w:t>
      </w:r>
    </w:p>
    <w:p w14:paraId="3C9A94DB">
      <w:pPr>
        <w:numPr>
          <w:ilvl w:val="0"/>
          <w:numId w:val="9"/>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投标人认为需要提供的其他评审及证明材料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5"/>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FCC770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9CB212C">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A6A4ED2">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A4DDFA8">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647CF3AD">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25DDA596">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2210F26">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2816DBD1">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5761DEBC">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0FCDD94F">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49E1B994">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F3C6DA3">
      <w:pPr>
        <w:spacing w:line="360" w:lineRule="auto"/>
        <w:ind w:firstLine="4800" w:firstLineChars="2000"/>
        <w:rPr>
          <w:rFonts w:ascii="宋体" w:hAnsi="宋体" w:eastAsia="宋体"/>
          <w:color w:val="auto"/>
          <w:sz w:val="24"/>
          <w:highlight w:val="none"/>
          <w:u w:val="single"/>
        </w:rPr>
      </w:pP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067CA7D">
      <w:pPr>
        <w:spacing w:line="360" w:lineRule="auto"/>
        <w:jc w:val="center"/>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货物的详细配置清单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76EF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center"/>
          </w:tcPr>
          <w:p w14:paraId="164FDB1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序号</w:t>
            </w:r>
          </w:p>
        </w:tc>
        <w:tc>
          <w:tcPr>
            <w:tcW w:w="1436" w:type="dxa"/>
            <w:noWrap w:val="0"/>
            <w:vAlign w:val="center"/>
          </w:tcPr>
          <w:p w14:paraId="664B4BE8">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货物名称</w:t>
            </w:r>
          </w:p>
        </w:tc>
        <w:tc>
          <w:tcPr>
            <w:tcW w:w="2154" w:type="dxa"/>
            <w:noWrap w:val="0"/>
            <w:vAlign w:val="center"/>
          </w:tcPr>
          <w:p w14:paraId="061E6497">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品牌、规格型号</w:t>
            </w:r>
          </w:p>
        </w:tc>
        <w:tc>
          <w:tcPr>
            <w:tcW w:w="1171" w:type="dxa"/>
            <w:noWrap w:val="0"/>
            <w:vAlign w:val="center"/>
          </w:tcPr>
          <w:p w14:paraId="615E94EC">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产地</w:t>
            </w:r>
          </w:p>
        </w:tc>
        <w:tc>
          <w:tcPr>
            <w:tcW w:w="2180" w:type="dxa"/>
            <w:noWrap w:val="0"/>
            <w:vAlign w:val="center"/>
          </w:tcPr>
          <w:p w14:paraId="5CF30AF5">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生产厂家</w:t>
            </w:r>
          </w:p>
        </w:tc>
        <w:tc>
          <w:tcPr>
            <w:tcW w:w="1532" w:type="dxa"/>
            <w:noWrap w:val="0"/>
            <w:vAlign w:val="center"/>
          </w:tcPr>
          <w:p w14:paraId="06B6FB8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详细配置清单</w:t>
            </w:r>
          </w:p>
        </w:tc>
      </w:tr>
      <w:tr w14:paraId="65FF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CB27AF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253A3FC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B2F1C44">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6749B3E6">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1A8FDB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8ED3E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7FCD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A61196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4CE1CA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34B262DC">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0864FD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4F650452">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10733A2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26AA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106A6D4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1D1B55E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773171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54BF120">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0765C168">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3CAF4E1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041F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24CBB591">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w:t>
            </w:r>
          </w:p>
        </w:tc>
        <w:tc>
          <w:tcPr>
            <w:tcW w:w="1436" w:type="dxa"/>
            <w:noWrap w:val="0"/>
            <w:vAlign w:val="center"/>
          </w:tcPr>
          <w:p w14:paraId="7917490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67E49F3E">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9292A3D">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74E8693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2D393B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bl>
    <w:p w14:paraId="144B919B">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注：表格请按照购采购配置清单顺序填写，如果行数不够，请自行增加；</w:t>
      </w:r>
    </w:p>
    <w:p w14:paraId="2098569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7AB56AC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5343F243">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DED7A77">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10F3EDDE">
      <w:pPr>
        <w:spacing w:line="360" w:lineRule="auto"/>
        <w:jc w:val="center"/>
        <w:outlineLvl w:val="1"/>
        <w:rPr>
          <w:rFonts w:hint="eastAsia" w:ascii="宋体" w:hAnsi="宋体" w:eastAsia="宋体"/>
          <w:b/>
          <w:color w:val="auto"/>
          <w:sz w:val="24"/>
          <w:highlight w:val="none"/>
          <w:lang w:val="en-US" w:eastAsia="zh-CN"/>
        </w:rPr>
      </w:pPr>
      <w:bookmarkStart w:id="49" w:name="_Toc1328"/>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49"/>
    </w:p>
    <w:p w14:paraId="212B720D">
      <w:pPr>
        <w:pStyle w:val="16"/>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12"/>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12"/>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12"/>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12"/>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12"/>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12"/>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12"/>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12"/>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D9CF5C5">
      <w:pPr>
        <w:pStyle w:val="12"/>
        <w:rPr>
          <w:rFonts w:hint="eastAsia" w:ascii="宋体" w:hAnsi="宋体" w:eastAsia="宋体" w:cs="宋体"/>
          <w:color w:val="000000"/>
          <w:kern w:val="0"/>
          <w:sz w:val="24"/>
          <w:szCs w:val="24"/>
          <w:highlight w:val="none"/>
          <w:lang w:val="en-US" w:eastAsia="zh-CN"/>
        </w:rPr>
      </w:pPr>
    </w:p>
    <w:p w14:paraId="403A8C05">
      <w:pPr>
        <w:pStyle w:val="12"/>
        <w:rPr>
          <w:rFonts w:hint="eastAsia" w:ascii="宋体" w:hAnsi="宋体" w:eastAsia="宋体" w:cs="宋体"/>
          <w:color w:val="000000"/>
          <w:kern w:val="0"/>
          <w:sz w:val="24"/>
          <w:szCs w:val="24"/>
          <w:highlight w:val="none"/>
          <w:lang w:val="en-US" w:eastAsia="zh-CN"/>
        </w:rPr>
      </w:pPr>
    </w:p>
    <w:p w14:paraId="7B081043">
      <w:pPr>
        <w:pStyle w:val="12"/>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50" w:name="_Toc11607"/>
      <w:r>
        <w:rPr>
          <w:rFonts w:hint="eastAsia" w:ascii="宋体" w:hAnsi="宋体" w:eastAsia="宋体"/>
          <w:b/>
          <w:color w:val="auto"/>
          <w:sz w:val="24"/>
          <w:highlight w:val="none"/>
        </w:rPr>
        <w:br w:type="page"/>
      </w:r>
    </w:p>
    <w:bookmarkEnd w:id="50"/>
    <w:p w14:paraId="7E77EDDA">
      <w:pPr>
        <w:widowControl/>
        <w:jc w:val="center"/>
        <w:rPr>
          <w:rFonts w:hint="eastAsia" w:ascii="宋体" w:hAnsi="宋体" w:eastAsia="宋体"/>
          <w:b/>
          <w:color w:val="auto"/>
          <w:sz w:val="24"/>
          <w:highlight w:val="none"/>
          <w:lang w:val="en-US" w:eastAsia="zh-CN"/>
        </w:rPr>
      </w:pPr>
      <w:bookmarkStart w:id="51" w:name="_Toc300210382"/>
      <w:bookmarkStart w:id="52" w:name="_Toc457768004"/>
      <w:bookmarkStart w:id="53" w:name="_Toc520299348"/>
      <w:bookmarkStart w:id="54" w:name="_Toc25813"/>
      <w:bookmarkStart w:id="55" w:name="_Toc26536"/>
      <w:bookmarkStart w:id="56" w:name="_Hlk11701496"/>
      <w:r>
        <w:rPr>
          <w:rFonts w:hint="eastAsia" w:ascii="宋体" w:hAnsi="宋体" w:eastAsia="宋体"/>
          <w:b/>
          <w:color w:val="auto"/>
          <w:sz w:val="24"/>
          <w:highlight w:val="none"/>
          <w:lang w:val="en-US" w:eastAsia="zh-CN"/>
        </w:rPr>
        <w:t>四、</w:t>
      </w:r>
      <w:bookmarkEnd w:id="51"/>
      <w:bookmarkEnd w:id="52"/>
      <w:bookmarkEnd w:id="53"/>
      <w:r>
        <w:rPr>
          <w:rFonts w:hint="eastAsia" w:ascii="宋体" w:hAnsi="宋体" w:eastAsia="宋体"/>
          <w:b/>
          <w:color w:val="auto"/>
          <w:sz w:val="24"/>
          <w:highlight w:val="none"/>
          <w:lang w:val="en-US" w:eastAsia="zh-CN"/>
        </w:rPr>
        <w:t>诚信履约承诺函</w:t>
      </w:r>
      <w:bookmarkEnd w:id="54"/>
      <w:bookmarkEnd w:id="55"/>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57" w:name="OLE_LINK13"/>
      <w:bookmarkStart w:id="58" w:name="_Toc9573"/>
      <w:bookmarkStart w:id="59" w:name="OLE_LINK14"/>
      <w:bookmarkStart w:id="60" w:name="_Toc31244"/>
    </w:p>
    <w:bookmarkEnd w:id="56"/>
    <w:bookmarkEnd w:id="57"/>
    <w:bookmarkEnd w:id="58"/>
    <w:bookmarkEnd w:id="59"/>
    <w:bookmarkEnd w:id="60"/>
    <w:p w14:paraId="04199BB2">
      <w:pPr>
        <w:widowControl/>
        <w:jc w:val="center"/>
        <w:rPr>
          <w:rFonts w:hint="eastAsia" w:ascii="宋体" w:hAnsi="宋体" w:eastAsia="宋体"/>
          <w:b/>
          <w:color w:val="auto"/>
          <w:sz w:val="24"/>
          <w:highlight w:val="none"/>
          <w:lang w:val="en-US" w:eastAsia="zh-CN"/>
        </w:rPr>
      </w:pPr>
      <w:bookmarkStart w:id="61" w:name="_Toc6435"/>
      <w:bookmarkStart w:id="62" w:name="_Toc18131"/>
      <w:r>
        <w:rPr>
          <w:rFonts w:hint="eastAsia" w:ascii="宋体" w:hAnsi="宋体" w:eastAsia="宋体"/>
          <w:b/>
          <w:color w:val="auto"/>
          <w:sz w:val="24"/>
          <w:highlight w:val="none"/>
          <w:lang w:val="en-US" w:eastAsia="zh-CN"/>
        </w:rPr>
        <w:t>五、诚信投标承诺书 </w:t>
      </w:r>
    </w:p>
    <w:p w14:paraId="3D0694E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本人以企业法定代表人的身份郑重承诺：</w:t>
      </w:r>
    </w:p>
    <w:p w14:paraId="40831CD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一、将遵循公开、公正和诚实信用的原则自愿参加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项目的投标，所提供的一切材料都是真实、有效、合法的；</w:t>
      </w:r>
    </w:p>
    <w:p w14:paraId="5264E74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二、本单位郑重声明，根据</w:t>
      </w:r>
      <w:r>
        <w:rPr>
          <w:rFonts w:hint="eastAsia" w:ascii="宋体" w:hAnsi="宋体" w:eastAsia="宋体"/>
          <w:bCs/>
          <w:color w:val="auto"/>
          <w:sz w:val="24"/>
          <w:highlight w:val="none"/>
          <w:lang w:eastAsia="zh-CN"/>
        </w:rPr>
        <w:t>《中华人民共和国招标投标法》</w:t>
      </w:r>
      <w:r>
        <w:rPr>
          <w:rFonts w:hint="eastAsia" w:ascii="宋体" w:hAnsi="宋体" w:eastAsia="宋体"/>
          <w:bCs/>
          <w:color w:val="auto"/>
          <w:sz w:val="24"/>
          <w:highlight w:val="none"/>
        </w:rPr>
        <w:t>及</w:t>
      </w:r>
      <w:r>
        <w:rPr>
          <w:rFonts w:hint="eastAsia" w:ascii="宋体" w:hAnsi="宋体" w:eastAsia="宋体"/>
          <w:bCs/>
          <w:color w:val="auto"/>
          <w:sz w:val="24"/>
          <w:highlight w:val="none"/>
          <w:lang w:eastAsia="zh-CN"/>
        </w:rPr>
        <w:t>《中华人民共和国招标投标法实施条例》</w:t>
      </w:r>
      <w:r>
        <w:rPr>
          <w:rFonts w:hint="eastAsia" w:ascii="宋体" w:hAnsi="宋体" w:eastAsia="宋体"/>
          <w:bCs/>
          <w:color w:val="auto"/>
          <w:sz w:val="24"/>
          <w:highlight w:val="none"/>
        </w:rPr>
        <w:t>的规定，我公司具有良好的商业信誉和健全的财务会计制度，具有履行合同所必需的设备和专业技术能力，有依法缴纳税收和社会保障资金的良好记录；参加</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活动前三年内，本单位在经营活动中没有重大违法记录，没有因违法经营受到刑事处罚或者责令停产停业、吊销许可证或者执照、较大数额罚款等行政处罚。</w:t>
      </w:r>
    </w:p>
    <w:p w14:paraId="09BF5A0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三、不出借、转让资质证书，不让他人挂靠投标，不以他人名义投标或者以其他方式弄虚作假，骗取中标；</w:t>
      </w:r>
    </w:p>
    <w:p w14:paraId="0BA561AE">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四、不与其他投标人相互串通投标报价，不排挤其他投标人的公平竞争、损害采购人的合法权益；</w:t>
      </w:r>
    </w:p>
    <w:p w14:paraId="536CF0A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五、不与采购人、招标代理机构或其他投标人串通投标，损害国家利益、社会公共利益或者他人的合法权益；</w:t>
      </w:r>
    </w:p>
    <w:p w14:paraId="24F2D9E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六、我公司没有下列情形：1、被人民法院列入失信被执行人的；2、我公司及其法定代表人、拟任项目经理（建造师）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活动前3年在经营活动中有重大违法记录的。</w:t>
      </w:r>
    </w:p>
    <w:p w14:paraId="1E544F86">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七、严格遵守开标现场纪律，服从监管人员管理；</w:t>
      </w:r>
    </w:p>
    <w:p w14:paraId="78688A1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八、保证中标后不转包，若有分包征得采购人同意；</w:t>
      </w:r>
    </w:p>
    <w:p w14:paraId="0225D7E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九、保证中标之后，按照投标文件要求提供相关后续服务；</w:t>
      </w:r>
    </w:p>
    <w:p w14:paraId="72FE963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十、保证企业及所属相关人员在本次投标中无行贿等犯罪行为；</w:t>
      </w:r>
    </w:p>
    <w:p w14:paraId="641A576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BE9E0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36679ED7">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w:t>
      </w:r>
    </w:p>
    <w:p w14:paraId="5D987E0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开户银行：                          基本账户：</w:t>
      </w:r>
    </w:p>
    <w:p w14:paraId="754A20B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投标单位（盖单位章）：          法定代表人（签</w:t>
      </w:r>
      <w:r>
        <w:rPr>
          <w:rFonts w:hint="eastAsia" w:ascii="宋体" w:hAnsi="宋体" w:eastAsia="宋体"/>
          <w:bCs/>
          <w:color w:val="auto"/>
          <w:sz w:val="24"/>
          <w:highlight w:val="none"/>
          <w:lang w:val="en-US" w:eastAsia="zh-CN"/>
        </w:rPr>
        <w:t>字或盖</w:t>
      </w:r>
      <w:r>
        <w:rPr>
          <w:rFonts w:hint="eastAsia" w:ascii="宋体" w:hAnsi="宋体" w:eastAsia="宋体"/>
          <w:bCs/>
          <w:color w:val="auto"/>
          <w:sz w:val="24"/>
          <w:highlight w:val="none"/>
        </w:rPr>
        <w:t>章）：</w:t>
      </w:r>
    </w:p>
    <w:p w14:paraId="4C17CCFD">
      <w:pPr>
        <w:spacing w:line="360" w:lineRule="auto"/>
        <w:ind w:firstLine="480" w:firstLineChars="200"/>
        <w:rPr>
          <w:rFonts w:hint="eastAsia" w:ascii="宋体" w:hAnsi="宋体" w:eastAsia="宋体"/>
          <w:bCs/>
          <w:color w:val="auto"/>
          <w:sz w:val="24"/>
          <w:highlight w:val="none"/>
        </w:rPr>
      </w:pPr>
    </w:p>
    <w:p w14:paraId="7A7EAB3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日期：           年            月             日</w:t>
      </w:r>
    </w:p>
    <w:p w14:paraId="18139F8B">
      <w:pPr>
        <w:spacing w:line="360" w:lineRule="auto"/>
        <w:jc w:val="center"/>
        <w:outlineLvl w:val="0"/>
        <w:rPr>
          <w:rFonts w:hint="eastAsia" w:ascii="宋体" w:hAnsi="宋体" w:eastAsia="宋体"/>
          <w:b/>
          <w:color w:val="auto"/>
          <w:sz w:val="28"/>
          <w:highlight w:val="none"/>
        </w:rPr>
      </w:pPr>
    </w:p>
    <w:p w14:paraId="4C9496EB">
      <w:pPr>
        <w:spacing w:line="360" w:lineRule="auto"/>
        <w:jc w:val="center"/>
        <w:outlineLvl w:val="0"/>
        <w:rPr>
          <w:rFonts w:hint="eastAsia" w:ascii="宋体" w:hAnsi="宋体" w:eastAsia="宋体"/>
          <w:b/>
          <w:color w:val="auto"/>
          <w:sz w:val="28"/>
          <w:highlight w:val="none"/>
        </w:rPr>
      </w:pPr>
    </w:p>
    <w:p w14:paraId="04FEF33E">
      <w:pPr>
        <w:spacing w:line="360" w:lineRule="auto"/>
        <w:jc w:val="center"/>
        <w:outlineLvl w:val="0"/>
        <w:rPr>
          <w:rFonts w:hint="eastAsia" w:ascii="宋体" w:hAnsi="宋体" w:eastAsia="宋体"/>
          <w:b/>
          <w:color w:val="auto"/>
          <w:sz w:val="28"/>
          <w:highlight w:val="none"/>
        </w:rPr>
      </w:pPr>
    </w:p>
    <w:p w14:paraId="76E58F50">
      <w:pPr>
        <w:spacing w:line="360" w:lineRule="auto"/>
        <w:jc w:val="center"/>
        <w:outlineLvl w:val="0"/>
        <w:rPr>
          <w:rFonts w:hint="eastAsia" w:ascii="宋体" w:hAnsi="宋体" w:eastAsia="宋体"/>
          <w:b/>
          <w:color w:val="auto"/>
          <w:sz w:val="28"/>
          <w:highlight w:val="none"/>
        </w:rPr>
      </w:pPr>
    </w:p>
    <w:p w14:paraId="63A7B6D4">
      <w:pPr>
        <w:spacing w:line="360" w:lineRule="auto"/>
        <w:jc w:val="center"/>
        <w:outlineLvl w:val="0"/>
        <w:rPr>
          <w:rFonts w:hint="eastAsia" w:ascii="宋体" w:hAnsi="宋体" w:eastAsia="宋体"/>
          <w:b/>
          <w:color w:val="auto"/>
          <w:sz w:val="28"/>
          <w:highlight w:val="none"/>
        </w:rPr>
      </w:pPr>
    </w:p>
    <w:p w14:paraId="6B619A0A">
      <w:pPr>
        <w:spacing w:line="360" w:lineRule="auto"/>
        <w:jc w:val="center"/>
        <w:outlineLvl w:val="0"/>
        <w:rPr>
          <w:rFonts w:hint="eastAsia" w:ascii="宋体" w:hAnsi="宋体" w:eastAsia="宋体"/>
          <w:b/>
          <w:color w:val="auto"/>
          <w:sz w:val="28"/>
          <w:highlight w:val="none"/>
        </w:rPr>
      </w:pPr>
    </w:p>
    <w:p w14:paraId="270B6E6C">
      <w:pPr>
        <w:spacing w:line="360" w:lineRule="auto"/>
        <w:jc w:val="center"/>
        <w:outlineLvl w:val="0"/>
        <w:rPr>
          <w:rFonts w:hint="eastAsia" w:ascii="宋体" w:hAnsi="宋体" w:eastAsia="宋体"/>
          <w:b/>
          <w:color w:val="auto"/>
          <w:sz w:val="28"/>
          <w:highlight w:val="none"/>
        </w:rPr>
      </w:pPr>
    </w:p>
    <w:p w14:paraId="51481EF7">
      <w:pPr>
        <w:spacing w:line="360" w:lineRule="auto"/>
        <w:jc w:val="center"/>
        <w:outlineLvl w:val="0"/>
        <w:rPr>
          <w:rFonts w:hint="eastAsia" w:ascii="宋体" w:hAnsi="宋体" w:eastAsia="宋体"/>
          <w:b/>
          <w:color w:val="auto"/>
          <w:sz w:val="28"/>
          <w:highlight w:val="none"/>
        </w:rPr>
      </w:pPr>
    </w:p>
    <w:p w14:paraId="36D520CC">
      <w:pPr>
        <w:spacing w:line="360" w:lineRule="auto"/>
        <w:jc w:val="center"/>
        <w:outlineLvl w:val="0"/>
        <w:rPr>
          <w:rFonts w:hint="eastAsia" w:ascii="宋体" w:hAnsi="宋体" w:eastAsia="宋体"/>
          <w:b/>
          <w:color w:val="auto"/>
          <w:sz w:val="28"/>
          <w:highlight w:val="none"/>
        </w:rPr>
      </w:pPr>
    </w:p>
    <w:p w14:paraId="3C2B8CBA">
      <w:pPr>
        <w:spacing w:line="360" w:lineRule="auto"/>
        <w:jc w:val="center"/>
        <w:outlineLvl w:val="0"/>
        <w:rPr>
          <w:rFonts w:hint="eastAsia" w:ascii="宋体" w:hAnsi="宋体" w:eastAsia="宋体"/>
          <w:b/>
          <w:color w:val="auto"/>
          <w:sz w:val="28"/>
          <w:highlight w:val="none"/>
        </w:rPr>
      </w:pPr>
    </w:p>
    <w:p w14:paraId="6A12D88F">
      <w:pPr>
        <w:spacing w:line="360" w:lineRule="auto"/>
        <w:jc w:val="center"/>
        <w:outlineLvl w:val="0"/>
        <w:rPr>
          <w:rFonts w:hint="eastAsia" w:ascii="宋体" w:hAnsi="宋体" w:eastAsia="宋体"/>
          <w:b/>
          <w:color w:val="auto"/>
          <w:sz w:val="28"/>
          <w:highlight w:val="none"/>
        </w:rPr>
      </w:pPr>
    </w:p>
    <w:p w14:paraId="076645B6">
      <w:pPr>
        <w:spacing w:line="360" w:lineRule="auto"/>
        <w:jc w:val="center"/>
        <w:outlineLvl w:val="0"/>
        <w:rPr>
          <w:rFonts w:hint="eastAsia" w:ascii="宋体" w:hAnsi="宋体" w:eastAsia="宋体"/>
          <w:b/>
          <w:color w:val="auto"/>
          <w:sz w:val="28"/>
          <w:highlight w:val="none"/>
        </w:rPr>
      </w:pPr>
    </w:p>
    <w:p w14:paraId="2F0A997A">
      <w:pPr>
        <w:spacing w:line="360" w:lineRule="auto"/>
        <w:jc w:val="center"/>
        <w:outlineLvl w:val="0"/>
        <w:rPr>
          <w:rFonts w:hint="eastAsia" w:ascii="宋体" w:hAnsi="宋体" w:eastAsia="宋体"/>
          <w:b/>
          <w:color w:val="auto"/>
          <w:sz w:val="28"/>
          <w:highlight w:val="none"/>
        </w:rPr>
      </w:pPr>
    </w:p>
    <w:p w14:paraId="63535FC9">
      <w:pPr>
        <w:spacing w:line="360" w:lineRule="auto"/>
        <w:jc w:val="center"/>
        <w:outlineLvl w:val="0"/>
        <w:rPr>
          <w:rFonts w:hint="eastAsia" w:ascii="宋体" w:hAnsi="宋体" w:eastAsia="宋体"/>
          <w:b/>
          <w:color w:val="auto"/>
          <w:sz w:val="28"/>
          <w:highlight w:val="none"/>
        </w:rPr>
      </w:pPr>
    </w:p>
    <w:p w14:paraId="3BA38ACA">
      <w:pPr>
        <w:spacing w:line="360" w:lineRule="auto"/>
        <w:jc w:val="center"/>
        <w:outlineLvl w:val="0"/>
        <w:rPr>
          <w:rFonts w:hint="eastAsia" w:ascii="宋体" w:hAnsi="宋体" w:eastAsia="宋体"/>
          <w:b/>
          <w:color w:val="auto"/>
          <w:sz w:val="28"/>
          <w:highlight w:val="none"/>
        </w:rPr>
      </w:pPr>
    </w:p>
    <w:p w14:paraId="05EFAD2A">
      <w:pPr>
        <w:spacing w:line="360" w:lineRule="auto"/>
        <w:jc w:val="center"/>
        <w:outlineLvl w:val="0"/>
        <w:rPr>
          <w:rFonts w:hint="eastAsia" w:ascii="宋体" w:hAnsi="宋体" w:eastAsia="宋体"/>
          <w:b/>
          <w:color w:val="auto"/>
          <w:sz w:val="28"/>
          <w:highlight w:val="none"/>
        </w:rPr>
      </w:pPr>
    </w:p>
    <w:p w14:paraId="46BE6427">
      <w:pPr>
        <w:spacing w:line="360" w:lineRule="auto"/>
        <w:jc w:val="center"/>
        <w:outlineLvl w:val="0"/>
        <w:rPr>
          <w:rFonts w:hint="eastAsia" w:ascii="宋体" w:hAnsi="宋体" w:eastAsia="宋体"/>
          <w:b/>
          <w:color w:val="auto"/>
          <w:sz w:val="28"/>
          <w:highlight w:val="none"/>
        </w:rPr>
      </w:pPr>
    </w:p>
    <w:p w14:paraId="3A5ACE8A">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7B7C5FF1">
      <w:pPr>
        <w:spacing w:line="360" w:lineRule="auto"/>
        <w:jc w:val="center"/>
        <w:outlineLvl w:val="1"/>
        <w:rPr>
          <w:rFonts w:ascii="宋体" w:hAnsi="宋体" w:eastAsia="宋体"/>
          <w:b/>
          <w:color w:val="auto"/>
          <w:sz w:val="24"/>
          <w:highlight w:val="none"/>
        </w:rPr>
      </w:pPr>
      <w:bookmarkStart w:id="63" w:name="_Toc28960"/>
      <w:bookmarkStart w:id="64" w:name="_Toc5555"/>
      <w:r>
        <w:rPr>
          <w:rFonts w:hint="eastAsia" w:ascii="宋体" w:hAnsi="宋体" w:eastAsia="宋体"/>
          <w:b/>
          <w:color w:val="auto"/>
          <w:sz w:val="24"/>
          <w:highlight w:val="none"/>
        </w:rPr>
        <w:t>一、开标一览表</w:t>
      </w:r>
      <w:bookmarkEnd w:id="63"/>
      <w:bookmarkEnd w:id="64"/>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80C62E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65" w:name="_Toc6441"/>
      <w:bookmarkStart w:id="66" w:name="_Toc18010"/>
      <w:r>
        <w:rPr>
          <w:rFonts w:hint="eastAsia" w:ascii="宋体" w:hAnsi="宋体" w:eastAsia="宋体"/>
          <w:b/>
          <w:color w:val="auto"/>
          <w:sz w:val="24"/>
          <w:highlight w:val="none"/>
        </w:rPr>
        <w:t>二、投标函</w:t>
      </w:r>
      <w:bookmarkEnd w:id="65"/>
      <w:bookmarkEnd w:id="66"/>
    </w:p>
    <w:p w14:paraId="137B4C66">
      <w:pPr>
        <w:pStyle w:val="16"/>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67" w:name="_Toc6796"/>
      <w:bookmarkStart w:id="68" w:name="_Toc31991"/>
    </w:p>
    <w:p w14:paraId="25C4F671">
      <w:pPr>
        <w:spacing w:line="360" w:lineRule="auto"/>
        <w:jc w:val="center"/>
        <w:outlineLvl w:val="1"/>
        <w:rPr>
          <w:rFonts w:hint="eastAsia" w:ascii="宋体" w:hAnsi="宋体" w:eastAsia="宋体"/>
          <w:b/>
          <w:color w:val="auto"/>
          <w:sz w:val="24"/>
          <w:highlight w:val="none"/>
        </w:rPr>
      </w:pPr>
    </w:p>
    <w:p w14:paraId="52D2B976">
      <w:pPr>
        <w:pStyle w:val="2"/>
        <w:rPr>
          <w:rFonts w:hint="eastAsia"/>
        </w:rPr>
      </w:pPr>
    </w:p>
    <w:p w14:paraId="11C30E39">
      <w:pPr>
        <w:spacing w:line="360" w:lineRule="auto"/>
        <w:jc w:val="center"/>
        <w:outlineLvl w:val="1"/>
        <w:rPr>
          <w:rFonts w:hint="eastAsia" w:ascii="宋体" w:hAnsi="宋体" w:eastAsia="宋体"/>
          <w:b/>
          <w:color w:val="auto"/>
          <w:sz w:val="24"/>
          <w:highlight w:val="none"/>
        </w:rPr>
      </w:pPr>
    </w:p>
    <w:p w14:paraId="7049B152">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67"/>
      <w:bookmarkEnd w:id="68"/>
    </w:p>
    <w:p w14:paraId="7253A3D8">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1A0D1FD4">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2D873E8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货物名称</w:t>
            </w:r>
          </w:p>
        </w:tc>
        <w:tc>
          <w:tcPr>
            <w:tcW w:w="773" w:type="pct"/>
            <w:vAlign w:val="center"/>
          </w:tcPr>
          <w:p w14:paraId="2225EF6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品牌、型</w:t>
            </w:r>
          </w:p>
          <w:p w14:paraId="6CDAC9F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号</w:t>
            </w:r>
          </w:p>
        </w:tc>
        <w:tc>
          <w:tcPr>
            <w:tcW w:w="773" w:type="pct"/>
            <w:vAlign w:val="center"/>
          </w:tcPr>
          <w:p w14:paraId="6FFD3E45">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原产地及</w:t>
            </w:r>
          </w:p>
          <w:p w14:paraId="698729D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生产厂商</w:t>
            </w:r>
          </w:p>
        </w:tc>
        <w:tc>
          <w:tcPr>
            <w:tcW w:w="394" w:type="pct"/>
            <w:vAlign w:val="center"/>
          </w:tcPr>
          <w:p w14:paraId="08D36CC6">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单位</w:t>
            </w:r>
          </w:p>
        </w:tc>
        <w:tc>
          <w:tcPr>
            <w:tcW w:w="394" w:type="pct"/>
            <w:vAlign w:val="center"/>
          </w:tcPr>
          <w:p w14:paraId="58123C5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数量</w:t>
            </w:r>
          </w:p>
        </w:tc>
        <w:tc>
          <w:tcPr>
            <w:tcW w:w="551" w:type="pct"/>
            <w:vAlign w:val="center"/>
          </w:tcPr>
          <w:p w14:paraId="3A50E540">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551" w:type="pct"/>
            <w:vAlign w:val="center"/>
          </w:tcPr>
          <w:p w14:paraId="251A5733">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393" w:type="pct"/>
            <w:vAlign w:val="center"/>
          </w:tcPr>
          <w:p w14:paraId="5F28183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24C4556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777" w:type="pct"/>
          </w:tcPr>
          <w:p w14:paraId="5F23A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F10ACF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F838F4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288AC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DB654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92A98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F4136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65DFCD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C93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8EE548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777" w:type="pct"/>
          </w:tcPr>
          <w:p w14:paraId="0763F2A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0CA915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F4361A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AC9C61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C6AF1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26986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A886B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C979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AE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82B4D8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777" w:type="pct"/>
          </w:tcPr>
          <w:p w14:paraId="254CC3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1EC30F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C1D7B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5AD663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6DB7B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E7086D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6D4AC0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52F9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67A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68CA14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777" w:type="pct"/>
          </w:tcPr>
          <w:p w14:paraId="232307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81E969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E68B85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4070B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8C9142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E39B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06CCA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74DCAB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7F3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F58F2E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5</w:t>
            </w:r>
          </w:p>
        </w:tc>
        <w:tc>
          <w:tcPr>
            <w:tcW w:w="777" w:type="pct"/>
          </w:tcPr>
          <w:p w14:paraId="6BFD3FC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0174B6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C59D9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A12DC8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37EFD6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8EA7A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E31403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03F6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4AA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17AEC4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6</w:t>
            </w:r>
          </w:p>
        </w:tc>
        <w:tc>
          <w:tcPr>
            <w:tcW w:w="777" w:type="pct"/>
          </w:tcPr>
          <w:p w14:paraId="009B473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C727C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35DB0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AD64BA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14D98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8533FA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9875FD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44FD50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B4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01E59C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7</w:t>
            </w:r>
          </w:p>
        </w:tc>
        <w:tc>
          <w:tcPr>
            <w:tcW w:w="777" w:type="pct"/>
          </w:tcPr>
          <w:p w14:paraId="3FC59D9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7CE48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444AB4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113DF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561DFF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F0230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DED89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1C887F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648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746483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8</w:t>
            </w:r>
          </w:p>
        </w:tc>
        <w:tc>
          <w:tcPr>
            <w:tcW w:w="777" w:type="pct"/>
          </w:tcPr>
          <w:p w14:paraId="6824EF6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E9B86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30A01E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0C87B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65E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5AB2F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76A77C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403C9D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24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67430B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9</w:t>
            </w:r>
          </w:p>
        </w:tc>
        <w:tc>
          <w:tcPr>
            <w:tcW w:w="777" w:type="pct"/>
          </w:tcPr>
          <w:p w14:paraId="5CBB871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4FE9A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0BA5BB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7AB8E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7D2398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1CEF3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CBA98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EAEB55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E46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4BA70D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10</w:t>
            </w:r>
          </w:p>
        </w:tc>
        <w:tc>
          <w:tcPr>
            <w:tcW w:w="777" w:type="pct"/>
          </w:tcPr>
          <w:p w14:paraId="328E70A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67038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9DA71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E5C0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D8B13B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ECC567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43F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62DD9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FE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5D3143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11</w:t>
            </w:r>
          </w:p>
        </w:tc>
        <w:tc>
          <w:tcPr>
            <w:tcW w:w="777" w:type="pct"/>
          </w:tcPr>
          <w:p w14:paraId="0AB5C2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A57EC6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13730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FDD23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7DA3E8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B4B34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081D07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3C40E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21F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E93B4E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12</w:t>
            </w:r>
          </w:p>
        </w:tc>
        <w:tc>
          <w:tcPr>
            <w:tcW w:w="777" w:type="pct"/>
          </w:tcPr>
          <w:p w14:paraId="14B6815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23E9E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DCB495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8EF7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47B007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1B839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D579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7B62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804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16E2A3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13</w:t>
            </w:r>
          </w:p>
        </w:tc>
        <w:tc>
          <w:tcPr>
            <w:tcW w:w="777" w:type="pct"/>
          </w:tcPr>
          <w:p w14:paraId="2F1838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94DC0B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B04922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E775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207AB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C7FE4D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29B1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285FB0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7E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746459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vAlign w:val="center"/>
          </w:tcPr>
          <w:p w14:paraId="2B7043F9">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其他费用</w:t>
            </w:r>
          </w:p>
        </w:tc>
        <w:tc>
          <w:tcPr>
            <w:tcW w:w="773" w:type="pct"/>
          </w:tcPr>
          <w:p w14:paraId="1BCA765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82B39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E6097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D7A726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CD0F1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112CB9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36A88F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06A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0F0E5C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1E425B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12C9BB4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7F85EC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FC6394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1AB6F1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641FA6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D5129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C746F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4C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17E482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2DE74E8D">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w:t>
            </w:r>
          </w:p>
        </w:tc>
        <w:tc>
          <w:tcPr>
            <w:tcW w:w="773" w:type="pct"/>
          </w:tcPr>
          <w:p w14:paraId="7EE01B1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3592D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47B16C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BB808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87E54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13194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4BC1439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689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143B77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4AF383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63C64D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C84B7B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3F19F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F299A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74CBE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57F1B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F1E62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547A8957">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r>
              <w:rPr>
                <w:rFonts w:hint="eastAsia" w:ascii="宋体" w:hAnsi="宋体" w:eastAsia="宋体"/>
                <w:color w:val="auto"/>
                <w:szCs w:val="20"/>
                <w:highlight w:val="none"/>
              </w:rPr>
              <w:t>合计（元）</w:t>
            </w:r>
          </w:p>
        </w:tc>
        <w:tc>
          <w:tcPr>
            <w:tcW w:w="773" w:type="pct"/>
          </w:tcPr>
          <w:p w14:paraId="6A4ED71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6849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2F5253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3B8F25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8B4798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8D8DF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E5E2C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bl>
    <w:p w14:paraId="52B5141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74647E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8E58BD2">
      <w:pPr>
        <w:adjustRightInd w:val="0"/>
        <w:snapToGrid w:val="0"/>
        <w:spacing w:line="360" w:lineRule="auto"/>
        <w:rPr>
          <w:rFonts w:ascii="宋体" w:hAnsi="宋体" w:eastAsia="宋体"/>
          <w:b/>
          <w:bCs/>
          <w:color w:val="auto"/>
          <w:sz w:val="24"/>
          <w:szCs w:val="28"/>
          <w:highlight w:val="none"/>
        </w:rPr>
      </w:pPr>
    </w:p>
    <w:p w14:paraId="0CABF1DA">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534445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E7CEC90">
      <w:pPr>
        <w:spacing w:line="360" w:lineRule="auto"/>
        <w:jc w:val="center"/>
        <w:outlineLvl w:val="1"/>
        <w:rPr>
          <w:rFonts w:hint="default" w:ascii="宋体" w:hAnsi="宋体" w:eastAsia="宋体"/>
          <w:b/>
          <w:color w:val="auto"/>
          <w:sz w:val="24"/>
          <w:highlight w:val="none"/>
          <w:lang w:val="en-US" w:eastAsia="zh-CN"/>
        </w:rPr>
      </w:pPr>
      <w:bookmarkStart w:id="69" w:name="_Toc11940"/>
      <w:bookmarkStart w:id="70" w:name="_Toc20329"/>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69"/>
      <w:bookmarkEnd w:id="70"/>
    </w:p>
    <w:p w14:paraId="2FD4B2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1"/>
      <w:bookmarkEnd w:id="62"/>
    </w:p>
    <w:p w14:paraId="1998D8EC">
      <w:pPr>
        <w:spacing w:line="360" w:lineRule="auto"/>
        <w:jc w:val="center"/>
        <w:outlineLvl w:val="1"/>
        <w:rPr>
          <w:rFonts w:ascii="仿宋" w:hAnsi="仿宋" w:eastAsia="仿宋" w:cs="仿宋"/>
          <w:b/>
          <w:bCs/>
          <w:color w:val="auto"/>
          <w:sz w:val="32"/>
          <w:szCs w:val="44"/>
          <w:highlight w:val="none"/>
        </w:rPr>
      </w:pPr>
      <w:bookmarkStart w:id="71" w:name="_Toc27159"/>
      <w:bookmarkStart w:id="72" w:name="_Toc27489"/>
      <w:r>
        <w:rPr>
          <w:rFonts w:hint="eastAsia" w:ascii="仿宋" w:hAnsi="仿宋" w:eastAsia="仿宋" w:cs="仿宋"/>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3" w:name="_Toc13899"/>
      <w:r>
        <w:rPr>
          <w:rFonts w:hint="eastAsia" w:ascii="宋体" w:hAnsi="宋体" w:eastAsia="宋体" w:cs="仿宋"/>
          <w:color w:val="auto"/>
          <w:sz w:val="24"/>
          <w:szCs w:val="24"/>
          <w:highlight w:val="none"/>
        </w:rPr>
        <w:t>一、(事项一)</w:t>
      </w:r>
      <w:bookmarkEnd w:id="73"/>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4" w:name="_Toc3352"/>
      <w:r>
        <w:rPr>
          <w:rFonts w:hint="eastAsia" w:ascii="宋体" w:hAnsi="宋体" w:eastAsia="宋体" w:cs="仿宋"/>
          <w:color w:val="auto"/>
          <w:sz w:val="24"/>
          <w:szCs w:val="24"/>
          <w:highlight w:val="none"/>
        </w:rPr>
        <w:t>二、(事项二)</w:t>
      </w:r>
      <w:bookmarkEnd w:id="74"/>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75" w:name="_Toc3245"/>
      <w:bookmarkStart w:id="76" w:name="_Toc1575"/>
      <w:r>
        <w:rPr>
          <w:rFonts w:hint="eastAsia" w:ascii="仿宋" w:hAnsi="仿宋" w:eastAsia="仿宋" w:cs="仿宋"/>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77" w:name="_Toc21381"/>
      <w:r>
        <w:rPr>
          <w:rFonts w:hint="eastAsia" w:ascii="宋体" w:hAnsi="宋体" w:eastAsia="宋体" w:cs="仿宋"/>
          <w:b/>
          <w:bCs/>
          <w:color w:val="auto"/>
          <w:sz w:val="24"/>
          <w:szCs w:val="24"/>
          <w:highlight w:val="none"/>
        </w:rPr>
        <w:t>一、质疑供应商基本信息</w:t>
      </w:r>
      <w:bookmarkEnd w:id="77"/>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78" w:name="_Toc28415"/>
      <w:r>
        <w:rPr>
          <w:rFonts w:hint="eastAsia" w:ascii="宋体" w:hAnsi="宋体" w:eastAsia="宋体" w:cs="仿宋"/>
          <w:b/>
          <w:bCs/>
          <w:color w:val="auto"/>
          <w:sz w:val="24"/>
          <w:szCs w:val="24"/>
          <w:highlight w:val="none"/>
        </w:rPr>
        <w:t>二、质疑项目基本情况</w:t>
      </w:r>
      <w:bookmarkEnd w:id="78"/>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79" w:name="_Toc19014"/>
      <w:r>
        <w:rPr>
          <w:rFonts w:hint="eastAsia" w:ascii="宋体" w:hAnsi="宋体" w:eastAsia="宋体" w:cs="仿宋"/>
          <w:b/>
          <w:bCs/>
          <w:color w:val="auto"/>
          <w:sz w:val="24"/>
          <w:szCs w:val="24"/>
          <w:highlight w:val="none"/>
        </w:rPr>
        <w:t>三、质疑事项具体内容</w:t>
      </w:r>
      <w:bookmarkEnd w:id="79"/>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80" w:name="_Toc17919"/>
      <w:r>
        <w:rPr>
          <w:rFonts w:hint="eastAsia" w:ascii="宋体" w:hAnsi="宋体" w:eastAsia="宋体" w:cs="仿宋"/>
          <w:b/>
          <w:bCs/>
          <w:color w:val="auto"/>
          <w:sz w:val="24"/>
          <w:szCs w:val="24"/>
          <w:highlight w:val="none"/>
        </w:rPr>
        <w:t>四、与质疑事项相关的质疑请求</w:t>
      </w:r>
      <w:bookmarkEnd w:id="80"/>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81" w:name="_Toc9754"/>
      <w:bookmarkStart w:id="82" w:name="_Toc26836"/>
      <w:r>
        <w:rPr>
          <w:rFonts w:hint="eastAsia" w:ascii="宋体" w:hAnsi="宋体" w:eastAsia="宋体"/>
          <w:b/>
          <w:color w:val="auto"/>
          <w:sz w:val="28"/>
          <w:szCs w:val="32"/>
          <w:highlight w:val="none"/>
        </w:rPr>
        <w:t>质疑函制作说明：</w:t>
      </w:r>
      <w:bookmarkEnd w:id="81"/>
      <w:bookmarkEnd w:id="82"/>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87984AC-8445-4C5E-B41E-DC70A0AD1943}"/>
  </w:font>
  <w:font w:name="Arial">
    <w:panose1 w:val="020B0604020202020204"/>
    <w:charset w:val="01"/>
    <w:family w:val="swiss"/>
    <w:pitch w:val="default"/>
    <w:sig w:usb0="E0002EFF" w:usb1="C000785B" w:usb2="00000009" w:usb3="00000000" w:csb0="400001FF" w:csb1="FFFF0000"/>
    <w:embedRegular r:id="rId2" w:fontKey="{6B78F3B1-A60F-4572-8895-A408C85998C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5814397A-6C0D-4CBA-9BD6-B3F66E1C552D}"/>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523030CA-07F5-4136-B455-5231EFABDF7E}"/>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5" w:fontKey="{B1AE0CB7-D361-43A3-A5BE-1954528A1C37}"/>
  </w:font>
  <w:font w:name="仿宋">
    <w:panose1 w:val="02010609060101010101"/>
    <w:charset w:val="86"/>
    <w:family w:val="modern"/>
    <w:pitch w:val="default"/>
    <w:sig w:usb0="800002BF" w:usb1="38CF7CFA" w:usb2="00000016" w:usb3="00000000" w:csb0="00040001" w:csb1="00000000"/>
    <w:embedRegular r:id="rId6" w:fontKey="{AB89383E-F081-47DA-9A82-5E2DBF3CBA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8"/>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8"/>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8"/>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8"/>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8"/>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8"/>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9"/>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9"/>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9"/>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881E4"/>
    <w:multiLevelType w:val="singleLevel"/>
    <w:tmpl w:val="BBA881E4"/>
    <w:lvl w:ilvl="0" w:tentative="0">
      <w:start w:val="2"/>
      <w:numFmt w:val="decimal"/>
      <w:suff w:val="nothing"/>
      <w:lvlText w:val="（%1）"/>
      <w:lvlJc w:val="left"/>
    </w:lvl>
  </w:abstractNum>
  <w:abstractNum w:abstractNumId="1">
    <w:nsid w:val="D2B000B9"/>
    <w:multiLevelType w:val="singleLevel"/>
    <w:tmpl w:val="D2B000B9"/>
    <w:lvl w:ilvl="0" w:tentative="0">
      <w:start w:val="1"/>
      <w:numFmt w:val="decimal"/>
      <w:suff w:val="nothing"/>
      <w:lvlText w:val="（%1）"/>
      <w:lvlJc w:val="left"/>
    </w:lvl>
  </w:abstractNum>
  <w:abstractNum w:abstractNumId="2">
    <w:nsid w:val="00000000"/>
    <w:multiLevelType w:val="singleLevel"/>
    <w:tmpl w:val="00000000"/>
    <w:lvl w:ilvl="0" w:tentative="0">
      <w:start w:val="16"/>
      <w:numFmt w:val="decimal"/>
      <w:suff w:val="space"/>
      <w:lvlText w:val="%1."/>
      <w:lvlJc w:val="left"/>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00000002"/>
    <w:multiLevelType w:val="singleLevel"/>
    <w:tmpl w:val="00000002"/>
    <w:lvl w:ilvl="0" w:tentative="0">
      <w:start w:val="6"/>
      <w:numFmt w:val="decimal"/>
      <w:suff w:val="space"/>
      <w:lvlText w:val="%1."/>
      <w:lvlJc w:val="left"/>
    </w:lvl>
  </w:abstractNum>
  <w:abstractNum w:abstractNumId="5">
    <w:nsid w:val="00000003"/>
    <w:multiLevelType w:val="singleLevel"/>
    <w:tmpl w:val="00000003"/>
    <w:lvl w:ilvl="0" w:tentative="0">
      <w:start w:val="2"/>
      <w:numFmt w:val="decimal"/>
      <w:suff w:val="space"/>
      <w:lvlText w:val="%1."/>
      <w:lvlJc w:val="left"/>
    </w:lvl>
  </w:abstractNum>
  <w:abstractNum w:abstractNumId="6">
    <w:nsid w:val="00000004"/>
    <w:multiLevelType w:val="singleLevel"/>
    <w:tmpl w:val="00000004"/>
    <w:lvl w:ilvl="0" w:tentative="0">
      <w:start w:val="23"/>
      <w:numFmt w:val="decimal"/>
      <w:suff w:val="space"/>
      <w:lvlText w:val="%1."/>
      <w:lvlJc w:val="left"/>
    </w:lvl>
  </w:abstractNum>
  <w:abstractNum w:abstractNumId="7">
    <w:nsid w:val="00000005"/>
    <w:multiLevelType w:val="singleLevel"/>
    <w:tmpl w:val="00000005"/>
    <w:lvl w:ilvl="0" w:tentative="0">
      <w:start w:val="1"/>
      <w:numFmt w:val="decimal"/>
      <w:suff w:val="nothing"/>
      <w:lvlText w:val="（%1）"/>
      <w:lvlJc w:val="left"/>
    </w:lvl>
  </w:abstractNum>
  <w:abstractNum w:abstractNumId="8">
    <w:nsid w:val="00000006"/>
    <w:multiLevelType w:val="singleLevel"/>
    <w:tmpl w:val="00000006"/>
    <w:lvl w:ilvl="0" w:tentative="0">
      <w:start w:val="1"/>
      <w:numFmt w:val="decimal"/>
      <w:suff w:val="space"/>
      <w:lvlText w:val="%1."/>
      <w:lvlJc w:val="left"/>
    </w:lvl>
  </w:abstractNum>
  <w:num w:numId="1">
    <w:abstractNumId w:val="0"/>
  </w:num>
  <w:num w:numId="2">
    <w:abstractNumId w:val="8"/>
  </w:num>
  <w:num w:numId="3">
    <w:abstractNumId w:val="3"/>
  </w:num>
  <w:num w:numId="4">
    <w:abstractNumId w:val="7"/>
  </w:num>
  <w:num w:numId="5">
    <w:abstractNumId w:val="5"/>
  </w:num>
  <w:num w:numId="6">
    <w:abstractNumId w:val="4"/>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92AE4"/>
    <w:rsid w:val="00100BA1"/>
    <w:rsid w:val="00103897"/>
    <w:rsid w:val="00135135"/>
    <w:rsid w:val="0021506A"/>
    <w:rsid w:val="002F3455"/>
    <w:rsid w:val="00847DE1"/>
    <w:rsid w:val="009C512B"/>
    <w:rsid w:val="00B0507A"/>
    <w:rsid w:val="00DE5743"/>
    <w:rsid w:val="00EF16FF"/>
    <w:rsid w:val="01017684"/>
    <w:rsid w:val="013730A5"/>
    <w:rsid w:val="01457570"/>
    <w:rsid w:val="017D4F5C"/>
    <w:rsid w:val="0180098F"/>
    <w:rsid w:val="01AA3877"/>
    <w:rsid w:val="01B3556A"/>
    <w:rsid w:val="01B83CAA"/>
    <w:rsid w:val="01BD35AB"/>
    <w:rsid w:val="01E25ABE"/>
    <w:rsid w:val="01E730A7"/>
    <w:rsid w:val="01E925F2"/>
    <w:rsid w:val="02144BFA"/>
    <w:rsid w:val="02404E4B"/>
    <w:rsid w:val="025E7D96"/>
    <w:rsid w:val="02686F3C"/>
    <w:rsid w:val="029640FE"/>
    <w:rsid w:val="02AF74E7"/>
    <w:rsid w:val="02BF15A4"/>
    <w:rsid w:val="03035935"/>
    <w:rsid w:val="03077138"/>
    <w:rsid w:val="032D650E"/>
    <w:rsid w:val="034877EC"/>
    <w:rsid w:val="034D095E"/>
    <w:rsid w:val="03534B9D"/>
    <w:rsid w:val="03675AE6"/>
    <w:rsid w:val="037153A5"/>
    <w:rsid w:val="039E740C"/>
    <w:rsid w:val="03A82CAD"/>
    <w:rsid w:val="03BB7AB1"/>
    <w:rsid w:val="03DF1EFE"/>
    <w:rsid w:val="03F11C32"/>
    <w:rsid w:val="04275653"/>
    <w:rsid w:val="043B6051"/>
    <w:rsid w:val="04936845"/>
    <w:rsid w:val="04986A1A"/>
    <w:rsid w:val="04B50EB1"/>
    <w:rsid w:val="04BD7D66"/>
    <w:rsid w:val="04DA2664"/>
    <w:rsid w:val="04DF5F2E"/>
    <w:rsid w:val="05377B18"/>
    <w:rsid w:val="053A4F12"/>
    <w:rsid w:val="05597A8E"/>
    <w:rsid w:val="055E6E53"/>
    <w:rsid w:val="05882122"/>
    <w:rsid w:val="058F34B0"/>
    <w:rsid w:val="05A6031B"/>
    <w:rsid w:val="05AA02EA"/>
    <w:rsid w:val="05B227CB"/>
    <w:rsid w:val="05DA343D"/>
    <w:rsid w:val="06494EFE"/>
    <w:rsid w:val="065546FA"/>
    <w:rsid w:val="06606BFB"/>
    <w:rsid w:val="06691F53"/>
    <w:rsid w:val="06846D8D"/>
    <w:rsid w:val="06A967F3"/>
    <w:rsid w:val="06B43B46"/>
    <w:rsid w:val="06DC0977"/>
    <w:rsid w:val="076822F3"/>
    <w:rsid w:val="07E777BB"/>
    <w:rsid w:val="07EE6511"/>
    <w:rsid w:val="08297BEC"/>
    <w:rsid w:val="08387FA9"/>
    <w:rsid w:val="0870581B"/>
    <w:rsid w:val="08805F84"/>
    <w:rsid w:val="08966904"/>
    <w:rsid w:val="089E3A0A"/>
    <w:rsid w:val="08DD2784"/>
    <w:rsid w:val="08E52849"/>
    <w:rsid w:val="08FD4BD5"/>
    <w:rsid w:val="091D0DD3"/>
    <w:rsid w:val="093305F6"/>
    <w:rsid w:val="094D16B8"/>
    <w:rsid w:val="094E3682"/>
    <w:rsid w:val="096963CD"/>
    <w:rsid w:val="096E162E"/>
    <w:rsid w:val="0983678C"/>
    <w:rsid w:val="09840E52"/>
    <w:rsid w:val="09B01C47"/>
    <w:rsid w:val="09BA51F2"/>
    <w:rsid w:val="09C33728"/>
    <w:rsid w:val="09D26E62"/>
    <w:rsid w:val="0A1B17B6"/>
    <w:rsid w:val="0A256191"/>
    <w:rsid w:val="0A314FFA"/>
    <w:rsid w:val="0A430D0D"/>
    <w:rsid w:val="0A4800D1"/>
    <w:rsid w:val="0A5E78F5"/>
    <w:rsid w:val="0A6749FB"/>
    <w:rsid w:val="0A79472F"/>
    <w:rsid w:val="0A961280"/>
    <w:rsid w:val="0A9E0C56"/>
    <w:rsid w:val="0AB45767"/>
    <w:rsid w:val="0AC736EC"/>
    <w:rsid w:val="0B00275A"/>
    <w:rsid w:val="0B310B66"/>
    <w:rsid w:val="0B3626D0"/>
    <w:rsid w:val="0B5750F6"/>
    <w:rsid w:val="0B6E3B68"/>
    <w:rsid w:val="0B7D3DAB"/>
    <w:rsid w:val="0BD460C1"/>
    <w:rsid w:val="0BDA2FAB"/>
    <w:rsid w:val="0BF436E1"/>
    <w:rsid w:val="0BFE1B0E"/>
    <w:rsid w:val="0BFE313E"/>
    <w:rsid w:val="0C1C1816"/>
    <w:rsid w:val="0C3B5902"/>
    <w:rsid w:val="0C5821E5"/>
    <w:rsid w:val="0C5B0590"/>
    <w:rsid w:val="0C621E43"/>
    <w:rsid w:val="0C9E222B"/>
    <w:rsid w:val="0CE560AB"/>
    <w:rsid w:val="0CEE6D0E"/>
    <w:rsid w:val="0CF54541"/>
    <w:rsid w:val="0D076022"/>
    <w:rsid w:val="0D2E35AF"/>
    <w:rsid w:val="0D2E7A52"/>
    <w:rsid w:val="0D564D5C"/>
    <w:rsid w:val="0D5A0848"/>
    <w:rsid w:val="0D657CAC"/>
    <w:rsid w:val="0D6C5618"/>
    <w:rsid w:val="0D7A4A46"/>
    <w:rsid w:val="0D870F11"/>
    <w:rsid w:val="0DC83A03"/>
    <w:rsid w:val="0DF30D4B"/>
    <w:rsid w:val="0DFA5B87"/>
    <w:rsid w:val="0E097B78"/>
    <w:rsid w:val="0E0A401C"/>
    <w:rsid w:val="0E1704E7"/>
    <w:rsid w:val="0E236E8B"/>
    <w:rsid w:val="0E7B6CC7"/>
    <w:rsid w:val="0E8F2773"/>
    <w:rsid w:val="0E9315ED"/>
    <w:rsid w:val="0EA31D7A"/>
    <w:rsid w:val="0EAD0785"/>
    <w:rsid w:val="0ED91C40"/>
    <w:rsid w:val="0EEF6D6E"/>
    <w:rsid w:val="0F607C6B"/>
    <w:rsid w:val="0F692FC4"/>
    <w:rsid w:val="0F9D2C6D"/>
    <w:rsid w:val="0FA43FFC"/>
    <w:rsid w:val="0FBA381F"/>
    <w:rsid w:val="0FD536AF"/>
    <w:rsid w:val="0FED7751"/>
    <w:rsid w:val="0FF3288D"/>
    <w:rsid w:val="0FFA3C1C"/>
    <w:rsid w:val="10026281"/>
    <w:rsid w:val="10207B26"/>
    <w:rsid w:val="109B7BB5"/>
    <w:rsid w:val="10B71B0D"/>
    <w:rsid w:val="10BB33AB"/>
    <w:rsid w:val="10C0771D"/>
    <w:rsid w:val="10DD77C5"/>
    <w:rsid w:val="10E6007E"/>
    <w:rsid w:val="10FA5A47"/>
    <w:rsid w:val="11382C4E"/>
    <w:rsid w:val="11550BC8"/>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30A061A"/>
    <w:rsid w:val="13207E3D"/>
    <w:rsid w:val="132818B7"/>
    <w:rsid w:val="133E6515"/>
    <w:rsid w:val="13693592"/>
    <w:rsid w:val="13712447"/>
    <w:rsid w:val="13733397"/>
    <w:rsid w:val="13DF5603"/>
    <w:rsid w:val="13E316E0"/>
    <w:rsid w:val="13ED41C3"/>
    <w:rsid w:val="1422388F"/>
    <w:rsid w:val="142E658A"/>
    <w:rsid w:val="1437543F"/>
    <w:rsid w:val="145204CA"/>
    <w:rsid w:val="147541B9"/>
    <w:rsid w:val="148B12E6"/>
    <w:rsid w:val="14A64372"/>
    <w:rsid w:val="14D67581"/>
    <w:rsid w:val="14DB226E"/>
    <w:rsid w:val="14DE1D5E"/>
    <w:rsid w:val="14ED3D4F"/>
    <w:rsid w:val="151E6A48"/>
    <w:rsid w:val="15354147"/>
    <w:rsid w:val="155A67CD"/>
    <w:rsid w:val="156D6C3E"/>
    <w:rsid w:val="158E72E0"/>
    <w:rsid w:val="15AE34DE"/>
    <w:rsid w:val="15B825AF"/>
    <w:rsid w:val="15EC4007"/>
    <w:rsid w:val="1602382A"/>
    <w:rsid w:val="160C28FB"/>
    <w:rsid w:val="161146EA"/>
    <w:rsid w:val="162A1B44"/>
    <w:rsid w:val="16685D83"/>
    <w:rsid w:val="1672275E"/>
    <w:rsid w:val="16BC1C2B"/>
    <w:rsid w:val="16DC407B"/>
    <w:rsid w:val="16EF3DAF"/>
    <w:rsid w:val="17285513"/>
    <w:rsid w:val="172B6DB1"/>
    <w:rsid w:val="17371C20"/>
    <w:rsid w:val="17435EA8"/>
    <w:rsid w:val="17471E3D"/>
    <w:rsid w:val="175E2CE2"/>
    <w:rsid w:val="177C760C"/>
    <w:rsid w:val="178564C1"/>
    <w:rsid w:val="17B80644"/>
    <w:rsid w:val="17E4768B"/>
    <w:rsid w:val="180970F2"/>
    <w:rsid w:val="18506ACF"/>
    <w:rsid w:val="185B5474"/>
    <w:rsid w:val="186D58D3"/>
    <w:rsid w:val="18737847"/>
    <w:rsid w:val="18814EDA"/>
    <w:rsid w:val="189C5D78"/>
    <w:rsid w:val="189E6C73"/>
    <w:rsid w:val="18D07033"/>
    <w:rsid w:val="18D524FF"/>
    <w:rsid w:val="18D71994"/>
    <w:rsid w:val="18DA7278"/>
    <w:rsid w:val="18EB2C9C"/>
    <w:rsid w:val="190C483A"/>
    <w:rsid w:val="192D284D"/>
    <w:rsid w:val="1945415A"/>
    <w:rsid w:val="19481E9C"/>
    <w:rsid w:val="194A5652"/>
    <w:rsid w:val="195425EF"/>
    <w:rsid w:val="19874772"/>
    <w:rsid w:val="19AC41D9"/>
    <w:rsid w:val="19BD0194"/>
    <w:rsid w:val="1A2A3350"/>
    <w:rsid w:val="1A5A1E87"/>
    <w:rsid w:val="1A8D5817"/>
    <w:rsid w:val="1AAE4346"/>
    <w:rsid w:val="1AF851FC"/>
    <w:rsid w:val="1B4A1593"/>
    <w:rsid w:val="1B4D379A"/>
    <w:rsid w:val="1B6610FC"/>
    <w:rsid w:val="1B762CF0"/>
    <w:rsid w:val="1B933CF4"/>
    <w:rsid w:val="1B9C202B"/>
    <w:rsid w:val="1BAD248A"/>
    <w:rsid w:val="1BC21F3A"/>
    <w:rsid w:val="1BE17132"/>
    <w:rsid w:val="1C0539CF"/>
    <w:rsid w:val="1C1B2F7B"/>
    <w:rsid w:val="1C1B5646"/>
    <w:rsid w:val="1C1E610B"/>
    <w:rsid w:val="1C8A6328"/>
    <w:rsid w:val="1C9F6277"/>
    <w:rsid w:val="1CB810E7"/>
    <w:rsid w:val="1CCF110C"/>
    <w:rsid w:val="1CE81E71"/>
    <w:rsid w:val="1D3D7B17"/>
    <w:rsid w:val="1D4B1E70"/>
    <w:rsid w:val="1D7C0366"/>
    <w:rsid w:val="1D9F104A"/>
    <w:rsid w:val="1DD51824"/>
    <w:rsid w:val="1DDE4B7D"/>
    <w:rsid w:val="1DE008F5"/>
    <w:rsid w:val="1DE101C9"/>
    <w:rsid w:val="1DFC5003"/>
    <w:rsid w:val="1E081BFA"/>
    <w:rsid w:val="1E083917"/>
    <w:rsid w:val="1E236A34"/>
    <w:rsid w:val="1E7554E1"/>
    <w:rsid w:val="1E96129B"/>
    <w:rsid w:val="1EC024D4"/>
    <w:rsid w:val="1EDB10BC"/>
    <w:rsid w:val="1EFA59E6"/>
    <w:rsid w:val="1F046865"/>
    <w:rsid w:val="1F1771BC"/>
    <w:rsid w:val="1F404002"/>
    <w:rsid w:val="1F4C0B6E"/>
    <w:rsid w:val="1FAD0CAB"/>
    <w:rsid w:val="1FCF6E73"/>
    <w:rsid w:val="1FDA1374"/>
    <w:rsid w:val="202A7DFC"/>
    <w:rsid w:val="204E5EB7"/>
    <w:rsid w:val="20586E69"/>
    <w:rsid w:val="206F7D0E"/>
    <w:rsid w:val="20847881"/>
    <w:rsid w:val="20C6324C"/>
    <w:rsid w:val="20E63CC8"/>
    <w:rsid w:val="20EF2BFD"/>
    <w:rsid w:val="211D59BC"/>
    <w:rsid w:val="21325751"/>
    <w:rsid w:val="21374CD0"/>
    <w:rsid w:val="21457AA6"/>
    <w:rsid w:val="219E6AFD"/>
    <w:rsid w:val="21AB121A"/>
    <w:rsid w:val="21D00F87"/>
    <w:rsid w:val="21D7200F"/>
    <w:rsid w:val="21DE339D"/>
    <w:rsid w:val="21E03F02"/>
    <w:rsid w:val="21ED5F41"/>
    <w:rsid w:val="22066450"/>
    <w:rsid w:val="22272617"/>
    <w:rsid w:val="22596EC8"/>
    <w:rsid w:val="2265586D"/>
    <w:rsid w:val="22833F45"/>
    <w:rsid w:val="22A5210D"/>
    <w:rsid w:val="22E545B0"/>
    <w:rsid w:val="22E5535D"/>
    <w:rsid w:val="22EC1AEA"/>
    <w:rsid w:val="2302130E"/>
    <w:rsid w:val="232E3EB1"/>
    <w:rsid w:val="23360FB7"/>
    <w:rsid w:val="233A2855"/>
    <w:rsid w:val="23401B0E"/>
    <w:rsid w:val="234353D1"/>
    <w:rsid w:val="235D1F05"/>
    <w:rsid w:val="236264C6"/>
    <w:rsid w:val="237A5348"/>
    <w:rsid w:val="237F470C"/>
    <w:rsid w:val="239E2206"/>
    <w:rsid w:val="23D9610A"/>
    <w:rsid w:val="23E568B3"/>
    <w:rsid w:val="23EB6A35"/>
    <w:rsid w:val="24013373"/>
    <w:rsid w:val="247B1377"/>
    <w:rsid w:val="249D12EE"/>
    <w:rsid w:val="24E011DB"/>
    <w:rsid w:val="24F9229C"/>
    <w:rsid w:val="251315B0"/>
    <w:rsid w:val="252B16E4"/>
    <w:rsid w:val="25302162"/>
    <w:rsid w:val="2557002B"/>
    <w:rsid w:val="257007B0"/>
    <w:rsid w:val="2593624D"/>
    <w:rsid w:val="259D3570"/>
    <w:rsid w:val="25A8619C"/>
    <w:rsid w:val="25B03DE2"/>
    <w:rsid w:val="25CD79B1"/>
    <w:rsid w:val="25D21D06"/>
    <w:rsid w:val="25D36F91"/>
    <w:rsid w:val="25FE400E"/>
    <w:rsid w:val="260C02FD"/>
    <w:rsid w:val="26152813"/>
    <w:rsid w:val="263C0693"/>
    <w:rsid w:val="26986044"/>
    <w:rsid w:val="26AA02F7"/>
    <w:rsid w:val="26B10373"/>
    <w:rsid w:val="26B66402"/>
    <w:rsid w:val="26C80178"/>
    <w:rsid w:val="26D13EAE"/>
    <w:rsid w:val="26EC030B"/>
    <w:rsid w:val="26FC7E22"/>
    <w:rsid w:val="26FE5E6C"/>
    <w:rsid w:val="27225ADA"/>
    <w:rsid w:val="27AB1F74"/>
    <w:rsid w:val="27B01338"/>
    <w:rsid w:val="27D854D6"/>
    <w:rsid w:val="27E601D4"/>
    <w:rsid w:val="27FF4722"/>
    <w:rsid w:val="280A6664"/>
    <w:rsid w:val="281713B7"/>
    <w:rsid w:val="284D302B"/>
    <w:rsid w:val="2869172C"/>
    <w:rsid w:val="2883374E"/>
    <w:rsid w:val="288E0F4E"/>
    <w:rsid w:val="28CD4903"/>
    <w:rsid w:val="28F434A6"/>
    <w:rsid w:val="28FB3B69"/>
    <w:rsid w:val="28FD67FF"/>
    <w:rsid w:val="29080FCC"/>
    <w:rsid w:val="29096867"/>
    <w:rsid w:val="290A4A78"/>
    <w:rsid w:val="29663529"/>
    <w:rsid w:val="297B3BC8"/>
    <w:rsid w:val="2987431B"/>
    <w:rsid w:val="299B4FB9"/>
    <w:rsid w:val="29B13146"/>
    <w:rsid w:val="29F43A2A"/>
    <w:rsid w:val="2A324774"/>
    <w:rsid w:val="2A5266D7"/>
    <w:rsid w:val="2A6428AE"/>
    <w:rsid w:val="2A703001"/>
    <w:rsid w:val="2A7A3E7F"/>
    <w:rsid w:val="2A8940C2"/>
    <w:rsid w:val="2B2500DD"/>
    <w:rsid w:val="2B3109E2"/>
    <w:rsid w:val="2B391645"/>
    <w:rsid w:val="2B473D61"/>
    <w:rsid w:val="2B7F799F"/>
    <w:rsid w:val="2BB22ED5"/>
    <w:rsid w:val="2BC929C8"/>
    <w:rsid w:val="2BCB321D"/>
    <w:rsid w:val="2BD33847"/>
    <w:rsid w:val="2BFB2D9E"/>
    <w:rsid w:val="2BFF288E"/>
    <w:rsid w:val="2C0C4FAB"/>
    <w:rsid w:val="2C122E31"/>
    <w:rsid w:val="2C1527E6"/>
    <w:rsid w:val="2C626979"/>
    <w:rsid w:val="2C894F11"/>
    <w:rsid w:val="2CA451E4"/>
    <w:rsid w:val="2CB74F17"/>
    <w:rsid w:val="2CBC3334"/>
    <w:rsid w:val="2CC2469D"/>
    <w:rsid w:val="2CCD0296"/>
    <w:rsid w:val="2CEA709A"/>
    <w:rsid w:val="2D1C121E"/>
    <w:rsid w:val="2D35295B"/>
    <w:rsid w:val="2D572256"/>
    <w:rsid w:val="2D99286E"/>
    <w:rsid w:val="2DBD030B"/>
    <w:rsid w:val="2DC0604D"/>
    <w:rsid w:val="2DC53663"/>
    <w:rsid w:val="2DF919BD"/>
    <w:rsid w:val="2E1B7727"/>
    <w:rsid w:val="2E50117F"/>
    <w:rsid w:val="2E8B0409"/>
    <w:rsid w:val="2E9077CD"/>
    <w:rsid w:val="2EB060C2"/>
    <w:rsid w:val="2EC35DF5"/>
    <w:rsid w:val="2ECB4CA9"/>
    <w:rsid w:val="2EF37D5C"/>
    <w:rsid w:val="2EF835C5"/>
    <w:rsid w:val="2EF91817"/>
    <w:rsid w:val="2F762E67"/>
    <w:rsid w:val="2F8310E0"/>
    <w:rsid w:val="2F882B9B"/>
    <w:rsid w:val="2F9334A5"/>
    <w:rsid w:val="2F9652B7"/>
    <w:rsid w:val="2FB71D2D"/>
    <w:rsid w:val="2FCB375B"/>
    <w:rsid w:val="2FCC6F2B"/>
    <w:rsid w:val="2FF81ACE"/>
    <w:rsid w:val="30314FE0"/>
    <w:rsid w:val="30442B30"/>
    <w:rsid w:val="305B3E0B"/>
    <w:rsid w:val="309335A5"/>
    <w:rsid w:val="30B874AF"/>
    <w:rsid w:val="30CB2D3F"/>
    <w:rsid w:val="30E6401D"/>
    <w:rsid w:val="311A0999"/>
    <w:rsid w:val="311C3B05"/>
    <w:rsid w:val="31344D88"/>
    <w:rsid w:val="315301E3"/>
    <w:rsid w:val="319475D5"/>
    <w:rsid w:val="31AA329C"/>
    <w:rsid w:val="31BB108F"/>
    <w:rsid w:val="31BE0AF5"/>
    <w:rsid w:val="320578B6"/>
    <w:rsid w:val="320E382B"/>
    <w:rsid w:val="322F37A1"/>
    <w:rsid w:val="32534214"/>
    <w:rsid w:val="325A6415"/>
    <w:rsid w:val="326351F9"/>
    <w:rsid w:val="327A1535"/>
    <w:rsid w:val="32904240"/>
    <w:rsid w:val="329B2BE5"/>
    <w:rsid w:val="32A95302"/>
    <w:rsid w:val="32DF445D"/>
    <w:rsid w:val="32E77BD8"/>
    <w:rsid w:val="32F040AA"/>
    <w:rsid w:val="32F12805"/>
    <w:rsid w:val="32F96543"/>
    <w:rsid w:val="330B4429"/>
    <w:rsid w:val="33462B51"/>
    <w:rsid w:val="3381002D"/>
    <w:rsid w:val="33A37FA3"/>
    <w:rsid w:val="33A81699"/>
    <w:rsid w:val="33A902AB"/>
    <w:rsid w:val="33B026C0"/>
    <w:rsid w:val="33CB5089"/>
    <w:rsid w:val="33D30EC6"/>
    <w:rsid w:val="3400694E"/>
    <w:rsid w:val="3417273F"/>
    <w:rsid w:val="341F137F"/>
    <w:rsid w:val="343B01DB"/>
    <w:rsid w:val="3463365C"/>
    <w:rsid w:val="34A51AF9"/>
    <w:rsid w:val="34AA6624"/>
    <w:rsid w:val="34B00F04"/>
    <w:rsid w:val="34B32468"/>
    <w:rsid w:val="34C12DD7"/>
    <w:rsid w:val="34D15E0D"/>
    <w:rsid w:val="35006613"/>
    <w:rsid w:val="35040F15"/>
    <w:rsid w:val="350902DA"/>
    <w:rsid w:val="354B6B44"/>
    <w:rsid w:val="357316F6"/>
    <w:rsid w:val="35A52FD0"/>
    <w:rsid w:val="35B538E8"/>
    <w:rsid w:val="35C918D1"/>
    <w:rsid w:val="35CF31EE"/>
    <w:rsid w:val="35D95EFE"/>
    <w:rsid w:val="36176A26"/>
    <w:rsid w:val="363C023B"/>
    <w:rsid w:val="368F7018"/>
    <w:rsid w:val="36A466B6"/>
    <w:rsid w:val="36B67168"/>
    <w:rsid w:val="37066F38"/>
    <w:rsid w:val="37147EBE"/>
    <w:rsid w:val="3736112E"/>
    <w:rsid w:val="37695060"/>
    <w:rsid w:val="377320FF"/>
    <w:rsid w:val="377A101B"/>
    <w:rsid w:val="379530C6"/>
    <w:rsid w:val="37B06E98"/>
    <w:rsid w:val="37CD1A92"/>
    <w:rsid w:val="37CE75B8"/>
    <w:rsid w:val="37DF3574"/>
    <w:rsid w:val="38082ACA"/>
    <w:rsid w:val="3846585A"/>
    <w:rsid w:val="388D19F8"/>
    <w:rsid w:val="38995E18"/>
    <w:rsid w:val="38B874ED"/>
    <w:rsid w:val="38CC3AF8"/>
    <w:rsid w:val="39094D4C"/>
    <w:rsid w:val="39334707"/>
    <w:rsid w:val="3959299B"/>
    <w:rsid w:val="3971469F"/>
    <w:rsid w:val="39A95BE7"/>
    <w:rsid w:val="39B0341A"/>
    <w:rsid w:val="39B60304"/>
    <w:rsid w:val="39B85EA1"/>
    <w:rsid w:val="39BD0A5B"/>
    <w:rsid w:val="39CB0253"/>
    <w:rsid w:val="39E11825"/>
    <w:rsid w:val="3A074661"/>
    <w:rsid w:val="3A451DB4"/>
    <w:rsid w:val="3A4F77A4"/>
    <w:rsid w:val="3A6A67D9"/>
    <w:rsid w:val="3A881CA1"/>
    <w:rsid w:val="3AAF547F"/>
    <w:rsid w:val="3AC47771"/>
    <w:rsid w:val="3AD42514"/>
    <w:rsid w:val="3AE25855"/>
    <w:rsid w:val="3AF45588"/>
    <w:rsid w:val="3B00217F"/>
    <w:rsid w:val="3B561D9F"/>
    <w:rsid w:val="3B5B7B12"/>
    <w:rsid w:val="3B694A1D"/>
    <w:rsid w:val="3B7010B2"/>
    <w:rsid w:val="3B8B3D12"/>
    <w:rsid w:val="3B9A7EDD"/>
    <w:rsid w:val="3BA725FA"/>
    <w:rsid w:val="3BC136BC"/>
    <w:rsid w:val="3BD50179"/>
    <w:rsid w:val="3C033CD5"/>
    <w:rsid w:val="3C0E4427"/>
    <w:rsid w:val="3C12216A"/>
    <w:rsid w:val="3C17152E"/>
    <w:rsid w:val="3C3E2F5F"/>
    <w:rsid w:val="3C601127"/>
    <w:rsid w:val="3C7B66FC"/>
    <w:rsid w:val="3C853690"/>
    <w:rsid w:val="3C885F88"/>
    <w:rsid w:val="3CBE19AA"/>
    <w:rsid w:val="3CDE204C"/>
    <w:rsid w:val="3D05582A"/>
    <w:rsid w:val="3D192362"/>
    <w:rsid w:val="3D202664"/>
    <w:rsid w:val="3D264775"/>
    <w:rsid w:val="3D5D11C3"/>
    <w:rsid w:val="3D605157"/>
    <w:rsid w:val="3D644B60"/>
    <w:rsid w:val="3D762284"/>
    <w:rsid w:val="3D7704B3"/>
    <w:rsid w:val="3D8C4692"/>
    <w:rsid w:val="3D933161"/>
    <w:rsid w:val="3DA2751D"/>
    <w:rsid w:val="3E1F0B6E"/>
    <w:rsid w:val="3E497999"/>
    <w:rsid w:val="3E5E3444"/>
    <w:rsid w:val="3E646581"/>
    <w:rsid w:val="3E900306"/>
    <w:rsid w:val="3EB66F78"/>
    <w:rsid w:val="3EE6343A"/>
    <w:rsid w:val="3F0D6C18"/>
    <w:rsid w:val="3F161F71"/>
    <w:rsid w:val="3F3D42AB"/>
    <w:rsid w:val="3F47212A"/>
    <w:rsid w:val="3F5E56C6"/>
    <w:rsid w:val="3F7D3D9E"/>
    <w:rsid w:val="3F8A0269"/>
    <w:rsid w:val="3F9F1F66"/>
    <w:rsid w:val="3FD37E62"/>
    <w:rsid w:val="3FDA11F0"/>
    <w:rsid w:val="3FFE7DA2"/>
    <w:rsid w:val="4044666A"/>
    <w:rsid w:val="4063720A"/>
    <w:rsid w:val="406712EA"/>
    <w:rsid w:val="406D3E12"/>
    <w:rsid w:val="408D0011"/>
    <w:rsid w:val="40DF6392"/>
    <w:rsid w:val="40F9220A"/>
    <w:rsid w:val="41076015"/>
    <w:rsid w:val="41462BC1"/>
    <w:rsid w:val="41674009"/>
    <w:rsid w:val="41846EB2"/>
    <w:rsid w:val="41894C7C"/>
    <w:rsid w:val="41913B31"/>
    <w:rsid w:val="419D4283"/>
    <w:rsid w:val="419E3311"/>
    <w:rsid w:val="41EB21B8"/>
    <w:rsid w:val="421E223B"/>
    <w:rsid w:val="422C3859"/>
    <w:rsid w:val="423A5D78"/>
    <w:rsid w:val="426B1F2F"/>
    <w:rsid w:val="42AA2522"/>
    <w:rsid w:val="43244531"/>
    <w:rsid w:val="43655275"/>
    <w:rsid w:val="43784FA8"/>
    <w:rsid w:val="43856243"/>
    <w:rsid w:val="43903CDF"/>
    <w:rsid w:val="4391606A"/>
    <w:rsid w:val="439B47F3"/>
    <w:rsid w:val="439C3B9D"/>
    <w:rsid w:val="43B35FE0"/>
    <w:rsid w:val="43E07893"/>
    <w:rsid w:val="443864E5"/>
    <w:rsid w:val="44615A3C"/>
    <w:rsid w:val="446B5CB5"/>
    <w:rsid w:val="449A3D36"/>
    <w:rsid w:val="44A616A1"/>
    <w:rsid w:val="44F56185"/>
    <w:rsid w:val="44FF34A7"/>
    <w:rsid w:val="45216F7A"/>
    <w:rsid w:val="452F5B3A"/>
    <w:rsid w:val="45392515"/>
    <w:rsid w:val="45455285"/>
    <w:rsid w:val="45494E2C"/>
    <w:rsid w:val="457810EA"/>
    <w:rsid w:val="457B0D80"/>
    <w:rsid w:val="45A57BAB"/>
    <w:rsid w:val="45A858ED"/>
    <w:rsid w:val="45AA51C1"/>
    <w:rsid w:val="45B1505C"/>
    <w:rsid w:val="45C2075D"/>
    <w:rsid w:val="45CA5863"/>
    <w:rsid w:val="460074D7"/>
    <w:rsid w:val="460912BA"/>
    <w:rsid w:val="46297A13"/>
    <w:rsid w:val="4689127A"/>
    <w:rsid w:val="46911D1D"/>
    <w:rsid w:val="46D5626E"/>
    <w:rsid w:val="46E55481"/>
    <w:rsid w:val="47064679"/>
    <w:rsid w:val="470B1C8F"/>
    <w:rsid w:val="47163D12"/>
    <w:rsid w:val="471F1BDF"/>
    <w:rsid w:val="4723522B"/>
    <w:rsid w:val="473C453F"/>
    <w:rsid w:val="47523D62"/>
    <w:rsid w:val="47857C94"/>
    <w:rsid w:val="479779C7"/>
    <w:rsid w:val="47A125F4"/>
    <w:rsid w:val="47E50732"/>
    <w:rsid w:val="47E56984"/>
    <w:rsid w:val="47E81FD1"/>
    <w:rsid w:val="487C605F"/>
    <w:rsid w:val="489857A5"/>
    <w:rsid w:val="489932CB"/>
    <w:rsid w:val="48AB5A85"/>
    <w:rsid w:val="48B3438D"/>
    <w:rsid w:val="48C12F4D"/>
    <w:rsid w:val="48E94BB7"/>
    <w:rsid w:val="48FD385A"/>
    <w:rsid w:val="491E0F2B"/>
    <w:rsid w:val="49310C32"/>
    <w:rsid w:val="49431BB4"/>
    <w:rsid w:val="49507A41"/>
    <w:rsid w:val="497438EC"/>
    <w:rsid w:val="49865F45"/>
    <w:rsid w:val="499B0F49"/>
    <w:rsid w:val="49BC54C3"/>
    <w:rsid w:val="49E538D1"/>
    <w:rsid w:val="49EE386C"/>
    <w:rsid w:val="49F64E79"/>
    <w:rsid w:val="4A162E25"/>
    <w:rsid w:val="4A2F2482"/>
    <w:rsid w:val="4A35453B"/>
    <w:rsid w:val="4A531BFE"/>
    <w:rsid w:val="4AC51E5D"/>
    <w:rsid w:val="4ACF1226"/>
    <w:rsid w:val="4AF3565B"/>
    <w:rsid w:val="4B076EEB"/>
    <w:rsid w:val="4B4C0B1A"/>
    <w:rsid w:val="4B964046"/>
    <w:rsid w:val="4BB016BF"/>
    <w:rsid w:val="4BB41A6E"/>
    <w:rsid w:val="4BD40E87"/>
    <w:rsid w:val="4C0D2006"/>
    <w:rsid w:val="4C2B0BB7"/>
    <w:rsid w:val="4C4023DB"/>
    <w:rsid w:val="4C4D4AF8"/>
    <w:rsid w:val="4C6D0CF6"/>
    <w:rsid w:val="4CB70FA4"/>
    <w:rsid w:val="4CBB4158"/>
    <w:rsid w:val="4CBB5F06"/>
    <w:rsid w:val="4CCF375F"/>
    <w:rsid w:val="4CE03BBE"/>
    <w:rsid w:val="4CFB48EC"/>
    <w:rsid w:val="4D297313"/>
    <w:rsid w:val="4D573E80"/>
    <w:rsid w:val="4D665E71"/>
    <w:rsid w:val="4D6C7200"/>
    <w:rsid w:val="4D7049C3"/>
    <w:rsid w:val="4D907392"/>
    <w:rsid w:val="4DD7388E"/>
    <w:rsid w:val="4DFC6FAF"/>
    <w:rsid w:val="4E157897"/>
    <w:rsid w:val="4E52289A"/>
    <w:rsid w:val="4E5877A0"/>
    <w:rsid w:val="4E604FB7"/>
    <w:rsid w:val="4E712D20"/>
    <w:rsid w:val="4E881E17"/>
    <w:rsid w:val="4EBB043F"/>
    <w:rsid w:val="4EFB4CDF"/>
    <w:rsid w:val="4F5368C9"/>
    <w:rsid w:val="4F543AE0"/>
    <w:rsid w:val="4F786330"/>
    <w:rsid w:val="4F842056"/>
    <w:rsid w:val="4F8F45D1"/>
    <w:rsid w:val="4FBD4D5E"/>
    <w:rsid w:val="4FE47521"/>
    <w:rsid w:val="4FF9121F"/>
    <w:rsid w:val="4FFC0517"/>
    <w:rsid w:val="507408A5"/>
    <w:rsid w:val="50812FC2"/>
    <w:rsid w:val="50A82C45"/>
    <w:rsid w:val="50BD6410"/>
    <w:rsid w:val="50CA60D9"/>
    <w:rsid w:val="50E023DF"/>
    <w:rsid w:val="50E579F5"/>
    <w:rsid w:val="50EA6DB9"/>
    <w:rsid w:val="510065DD"/>
    <w:rsid w:val="51053BF3"/>
    <w:rsid w:val="51180D53"/>
    <w:rsid w:val="511C6E87"/>
    <w:rsid w:val="51284CD2"/>
    <w:rsid w:val="514209A3"/>
    <w:rsid w:val="515A1860"/>
    <w:rsid w:val="515C7753"/>
    <w:rsid w:val="519F142B"/>
    <w:rsid w:val="51A82AC2"/>
    <w:rsid w:val="51AA471F"/>
    <w:rsid w:val="51B80C66"/>
    <w:rsid w:val="51C615D4"/>
    <w:rsid w:val="51CB2747"/>
    <w:rsid w:val="51E57C49"/>
    <w:rsid w:val="520E2096"/>
    <w:rsid w:val="521C5BFD"/>
    <w:rsid w:val="521F1B5F"/>
    <w:rsid w:val="52232583"/>
    <w:rsid w:val="523A5B1F"/>
    <w:rsid w:val="525C3EFB"/>
    <w:rsid w:val="5268443A"/>
    <w:rsid w:val="526D2AE1"/>
    <w:rsid w:val="5294522F"/>
    <w:rsid w:val="52C378C2"/>
    <w:rsid w:val="52D61080"/>
    <w:rsid w:val="52EF06B7"/>
    <w:rsid w:val="52F60BC6"/>
    <w:rsid w:val="52FC2DD4"/>
    <w:rsid w:val="530028C4"/>
    <w:rsid w:val="530B18F6"/>
    <w:rsid w:val="532760A3"/>
    <w:rsid w:val="5355153C"/>
    <w:rsid w:val="53F57F4F"/>
    <w:rsid w:val="54192CA4"/>
    <w:rsid w:val="545B7804"/>
    <w:rsid w:val="54857525"/>
    <w:rsid w:val="54984B35"/>
    <w:rsid w:val="54B75204"/>
    <w:rsid w:val="54B94AEC"/>
    <w:rsid w:val="54ED6E78"/>
    <w:rsid w:val="55020B76"/>
    <w:rsid w:val="55197C6D"/>
    <w:rsid w:val="552D196B"/>
    <w:rsid w:val="552D36BF"/>
    <w:rsid w:val="55313209"/>
    <w:rsid w:val="553D4864"/>
    <w:rsid w:val="55410F72"/>
    <w:rsid w:val="554A5E29"/>
    <w:rsid w:val="554F2432"/>
    <w:rsid w:val="55556B89"/>
    <w:rsid w:val="557E5D22"/>
    <w:rsid w:val="55872E29"/>
    <w:rsid w:val="55B55BE8"/>
    <w:rsid w:val="55C45E2B"/>
    <w:rsid w:val="55F33CC5"/>
    <w:rsid w:val="56075D18"/>
    <w:rsid w:val="56204D1B"/>
    <w:rsid w:val="56335624"/>
    <w:rsid w:val="564E7DEA"/>
    <w:rsid w:val="565020BD"/>
    <w:rsid w:val="56666EE2"/>
    <w:rsid w:val="56837A94"/>
    <w:rsid w:val="569A4DDE"/>
    <w:rsid w:val="56A47A0A"/>
    <w:rsid w:val="56AA5540"/>
    <w:rsid w:val="56BA722E"/>
    <w:rsid w:val="572D5C52"/>
    <w:rsid w:val="573050F9"/>
    <w:rsid w:val="573568B4"/>
    <w:rsid w:val="576469B4"/>
    <w:rsid w:val="577A1924"/>
    <w:rsid w:val="57945CD1"/>
    <w:rsid w:val="57B11E20"/>
    <w:rsid w:val="57B36733"/>
    <w:rsid w:val="57E07301"/>
    <w:rsid w:val="57FD5624"/>
    <w:rsid w:val="580C1D0B"/>
    <w:rsid w:val="58242BB1"/>
    <w:rsid w:val="5853793A"/>
    <w:rsid w:val="585F6F22"/>
    <w:rsid w:val="587578B0"/>
    <w:rsid w:val="58A22362"/>
    <w:rsid w:val="58B24661"/>
    <w:rsid w:val="58CD434A"/>
    <w:rsid w:val="58F307D5"/>
    <w:rsid w:val="58FC1D80"/>
    <w:rsid w:val="59284923"/>
    <w:rsid w:val="594F1EAF"/>
    <w:rsid w:val="595A2602"/>
    <w:rsid w:val="59896639"/>
    <w:rsid w:val="599B6DB6"/>
    <w:rsid w:val="59BB7545"/>
    <w:rsid w:val="59C77C98"/>
    <w:rsid w:val="59E44CEE"/>
    <w:rsid w:val="5A037476"/>
    <w:rsid w:val="5A1F4E71"/>
    <w:rsid w:val="5A327942"/>
    <w:rsid w:val="5A3F1F24"/>
    <w:rsid w:val="5A5473DB"/>
    <w:rsid w:val="5A6B0CE3"/>
    <w:rsid w:val="5A820063"/>
    <w:rsid w:val="5A8738CB"/>
    <w:rsid w:val="5A9A2114"/>
    <w:rsid w:val="5AC02939"/>
    <w:rsid w:val="5ACB37B8"/>
    <w:rsid w:val="5ADD173D"/>
    <w:rsid w:val="5B0B1E06"/>
    <w:rsid w:val="5B286E5C"/>
    <w:rsid w:val="5B4F74CF"/>
    <w:rsid w:val="5B55190F"/>
    <w:rsid w:val="5B5C4D58"/>
    <w:rsid w:val="5BA81D4B"/>
    <w:rsid w:val="5BD41E0C"/>
    <w:rsid w:val="5BDF1B04"/>
    <w:rsid w:val="5BE32D83"/>
    <w:rsid w:val="5BF31218"/>
    <w:rsid w:val="5BF76B9A"/>
    <w:rsid w:val="5BFC5BF3"/>
    <w:rsid w:val="5C441A74"/>
    <w:rsid w:val="5C45759A"/>
    <w:rsid w:val="5C986CFA"/>
    <w:rsid w:val="5CA93FCD"/>
    <w:rsid w:val="5CD64696"/>
    <w:rsid w:val="5CED210B"/>
    <w:rsid w:val="5CEE378D"/>
    <w:rsid w:val="5CFE60C6"/>
    <w:rsid w:val="5D047455"/>
    <w:rsid w:val="5D1E09AC"/>
    <w:rsid w:val="5D42488D"/>
    <w:rsid w:val="5D4930BA"/>
    <w:rsid w:val="5D9E6F62"/>
    <w:rsid w:val="5DB03139"/>
    <w:rsid w:val="5DC50992"/>
    <w:rsid w:val="5DC56BE4"/>
    <w:rsid w:val="5DCC7F73"/>
    <w:rsid w:val="5DD52A57"/>
    <w:rsid w:val="5DFB5069"/>
    <w:rsid w:val="5E08087F"/>
    <w:rsid w:val="5E091947"/>
    <w:rsid w:val="5E203E1A"/>
    <w:rsid w:val="5E99597B"/>
    <w:rsid w:val="5ED30E8D"/>
    <w:rsid w:val="5EF9755F"/>
    <w:rsid w:val="5F1115F5"/>
    <w:rsid w:val="5F1D25F2"/>
    <w:rsid w:val="5F7268F8"/>
    <w:rsid w:val="5F9C3975"/>
    <w:rsid w:val="5F9F3465"/>
    <w:rsid w:val="5FA171DD"/>
    <w:rsid w:val="5FB962D5"/>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7A5F38"/>
    <w:rsid w:val="618359D3"/>
    <w:rsid w:val="6189617B"/>
    <w:rsid w:val="61B51583"/>
    <w:rsid w:val="61D46475"/>
    <w:rsid w:val="61E84BD9"/>
    <w:rsid w:val="623E0D13"/>
    <w:rsid w:val="623F0207"/>
    <w:rsid w:val="62402CDD"/>
    <w:rsid w:val="624432E1"/>
    <w:rsid w:val="626915E4"/>
    <w:rsid w:val="628232F6"/>
    <w:rsid w:val="629152E7"/>
    <w:rsid w:val="62976675"/>
    <w:rsid w:val="629E0205"/>
    <w:rsid w:val="62EA2C49"/>
    <w:rsid w:val="62ED5038"/>
    <w:rsid w:val="631127C2"/>
    <w:rsid w:val="631942AE"/>
    <w:rsid w:val="631E0604"/>
    <w:rsid w:val="63387E58"/>
    <w:rsid w:val="633A772C"/>
    <w:rsid w:val="63650337"/>
    <w:rsid w:val="63770981"/>
    <w:rsid w:val="638E799C"/>
    <w:rsid w:val="63957059"/>
    <w:rsid w:val="63B14A74"/>
    <w:rsid w:val="63F57AF7"/>
    <w:rsid w:val="641309B4"/>
    <w:rsid w:val="64236413"/>
    <w:rsid w:val="6445282D"/>
    <w:rsid w:val="64485E79"/>
    <w:rsid w:val="646F2D60"/>
    <w:rsid w:val="6481138B"/>
    <w:rsid w:val="6493090D"/>
    <w:rsid w:val="64A137DB"/>
    <w:rsid w:val="64B03E04"/>
    <w:rsid w:val="64B60849"/>
    <w:rsid w:val="64DC3505"/>
    <w:rsid w:val="64F16511"/>
    <w:rsid w:val="65420B1A"/>
    <w:rsid w:val="655D3BA6"/>
    <w:rsid w:val="656A02C9"/>
    <w:rsid w:val="658F5CE7"/>
    <w:rsid w:val="65907AD8"/>
    <w:rsid w:val="65C6174B"/>
    <w:rsid w:val="65E87914"/>
    <w:rsid w:val="66106E6A"/>
    <w:rsid w:val="66173D55"/>
    <w:rsid w:val="663E7D2D"/>
    <w:rsid w:val="66A72C8A"/>
    <w:rsid w:val="66AA4BC9"/>
    <w:rsid w:val="66C20165"/>
    <w:rsid w:val="672D1356"/>
    <w:rsid w:val="67695A94"/>
    <w:rsid w:val="67A27F96"/>
    <w:rsid w:val="67CE6F5C"/>
    <w:rsid w:val="67E214A2"/>
    <w:rsid w:val="67FB3025"/>
    <w:rsid w:val="67FD1E64"/>
    <w:rsid w:val="6813679E"/>
    <w:rsid w:val="681A3FD0"/>
    <w:rsid w:val="684626D0"/>
    <w:rsid w:val="685B7E50"/>
    <w:rsid w:val="68662D72"/>
    <w:rsid w:val="68682BEF"/>
    <w:rsid w:val="68694610"/>
    <w:rsid w:val="686B65DA"/>
    <w:rsid w:val="689C49E5"/>
    <w:rsid w:val="68C83A2C"/>
    <w:rsid w:val="68E31F3D"/>
    <w:rsid w:val="68F20AA9"/>
    <w:rsid w:val="68FE11FC"/>
    <w:rsid w:val="693D7F76"/>
    <w:rsid w:val="698A2A90"/>
    <w:rsid w:val="69935DE8"/>
    <w:rsid w:val="69A27DD9"/>
    <w:rsid w:val="69C75A92"/>
    <w:rsid w:val="69DA1D9A"/>
    <w:rsid w:val="69FF790C"/>
    <w:rsid w:val="6A010FA4"/>
    <w:rsid w:val="6A366774"/>
    <w:rsid w:val="6A3C283D"/>
    <w:rsid w:val="6A4175F2"/>
    <w:rsid w:val="6A7B2ACF"/>
    <w:rsid w:val="6ABC311D"/>
    <w:rsid w:val="6AC717A6"/>
    <w:rsid w:val="6AF74155"/>
    <w:rsid w:val="6B113469"/>
    <w:rsid w:val="6B1B388E"/>
    <w:rsid w:val="6B2D7B77"/>
    <w:rsid w:val="6B3D1532"/>
    <w:rsid w:val="6B6317EA"/>
    <w:rsid w:val="6B741C4A"/>
    <w:rsid w:val="6B985938"/>
    <w:rsid w:val="6BE75F78"/>
    <w:rsid w:val="6C4B5B80"/>
    <w:rsid w:val="6C580C23"/>
    <w:rsid w:val="6CA4030D"/>
    <w:rsid w:val="6CE34991"/>
    <w:rsid w:val="6D1763FC"/>
    <w:rsid w:val="6D316241"/>
    <w:rsid w:val="6D6F34FA"/>
    <w:rsid w:val="6D7101EF"/>
    <w:rsid w:val="6D851EEC"/>
    <w:rsid w:val="6DA95E85"/>
    <w:rsid w:val="6DAF0D17"/>
    <w:rsid w:val="6DDF5B5A"/>
    <w:rsid w:val="6E565636"/>
    <w:rsid w:val="6EA6036C"/>
    <w:rsid w:val="6EA86918"/>
    <w:rsid w:val="6EB03039"/>
    <w:rsid w:val="6EB44436"/>
    <w:rsid w:val="6EE175F6"/>
    <w:rsid w:val="6EE3336E"/>
    <w:rsid w:val="6F0155A2"/>
    <w:rsid w:val="6F157D87"/>
    <w:rsid w:val="6F35524C"/>
    <w:rsid w:val="6F607BC9"/>
    <w:rsid w:val="6F6607E6"/>
    <w:rsid w:val="6F8F7052"/>
    <w:rsid w:val="6F9A3F9B"/>
    <w:rsid w:val="6FBE3493"/>
    <w:rsid w:val="6FCD12F8"/>
    <w:rsid w:val="6FD1766A"/>
    <w:rsid w:val="6FD607DD"/>
    <w:rsid w:val="6FDB4045"/>
    <w:rsid w:val="6FDB5DF3"/>
    <w:rsid w:val="6FFF2342"/>
    <w:rsid w:val="700A0487"/>
    <w:rsid w:val="70293003"/>
    <w:rsid w:val="70412B49"/>
    <w:rsid w:val="706C524B"/>
    <w:rsid w:val="70A50A55"/>
    <w:rsid w:val="70AF2E01"/>
    <w:rsid w:val="70EB650A"/>
    <w:rsid w:val="710870BC"/>
    <w:rsid w:val="71245BFC"/>
    <w:rsid w:val="71D260B4"/>
    <w:rsid w:val="71ED1E0E"/>
    <w:rsid w:val="722E00BF"/>
    <w:rsid w:val="722F68CA"/>
    <w:rsid w:val="723D2D95"/>
    <w:rsid w:val="723F4D5F"/>
    <w:rsid w:val="725134A0"/>
    <w:rsid w:val="725A3947"/>
    <w:rsid w:val="72C74D55"/>
    <w:rsid w:val="72D1172F"/>
    <w:rsid w:val="72D66D46"/>
    <w:rsid w:val="72F14819"/>
    <w:rsid w:val="73216213"/>
    <w:rsid w:val="732857F3"/>
    <w:rsid w:val="733E234E"/>
    <w:rsid w:val="734B7734"/>
    <w:rsid w:val="73584C2C"/>
    <w:rsid w:val="736425A4"/>
    <w:rsid w:val="737C5B3F"/>
    <w:rsid w:val="73C52B0E"/>
    <w:rsid w:val="73D03795"/>
    <w:rsid w:val="73E3796C"/>
    <w:rsid w:val="73E7745D"/>
    <w:rsid w:val="73EF00BF"/>
    <w:rsid w:val="73FC458A"/>
    <w:rsid w:val="74072973"/>
    <w:rsid w:val="74177616"/>
    <w:rsid w:val="74485A21"/>
    <w:rsid w:val="745B5755"/>
    <w:rsid w:val="746740F9"/>
    <w:rsid w:val="7487654A"/>
    <w:rsid w:val="74886692"/>
    <w:rsid w:val="74D80B53"/>
    <w:rsid w:val="751002ED"/>
    <w:rsid w:val="75105270"/>
    <w:rsid w:val="7554492F"/>
    <w:rsid w:val="756920F3"/>
    <w:rsid w:val="756B5E6B"/>
    <w:rsid w:val="75C37A55"/>
    <w:rsid w:val="75D92DD5"/>
    <w:rsid w:val="75EE59E0"/>
    <w:rsid w:val="75F45E61"/>
    <w:rsid w:val="75FB7FE4"/>
    <w:rsid w:val="76022D28"/>
    <w:rsid w:val="765D3A06"/>
    <w:rsid w:val="766E0BFE"/>
    <w:rsid w:val="76852C06"/>
    <w:rsid w:val="7686785D"/>
    <w:rsid w:val="768865A9"/>
    <w:rsid w:val="76DD5829"/>
    <w:rsid w:val="77690189"/>
    <w:rsid w:val="778A7C8B"/>
    <w:rsid w:val="77995C9A"/>
    <w:rsid w:val="779C67B0"/>
    <w:rsid w:val="779D01FC"/>
    <w:rsid w:val="77A13DC6"/>
    <w:rsid w:val="77AF64E3"/>
    <w:rsid w:val="77FE6B23"/>
    <w:rsid w:val="78250553"/>
    <w:rsid w:val="78393FFF"/>
    <w:rsid w:val="78454752"/>
    <w:rsid w:val="786365E0"/>
    <w:rsid w:val="788F1E71"/>
    <w:rsid w:val="78922979"/>
    <w:rsid w:val="78931961"/>
    <w:rsid w:val="78A21D8D"/>
    <w:rsid w:val="78AE3973"/>
    <w:rsid w:val="78D8504A"/>
    <w:rsid w:val="79050385"/>
    <w:rsid w:val="791F31F5"/>
    <w:rsid w:val="7936053E"/>
    <w:rsid w:val="79554E68"/>
    <w:rsid w:val="79951709"/>
    <w:rsid w:val="79975481"/>
    <w:rsid w:val="79CB0C87"/>
    <w:rsid w:val="79E24222"/>
    <w:rsid w:val="79FC1788"/>
    <w:rsid w:val="7A48677B"/>
    <w:rsid w:val="7A4D1FE3"/>
    <w:rsid w:val="7A5944E4"/>
    <w:rsid w:val="7A7C39B1"/>
    <w:rsid w:val="7A85352B"/>
    <w:rsid w:val="7A9814B1"/>
    <w:rsid w:val="7AA26AD8"/>
    <w:rsid w:val="7AA65250"/>
    <w:rsid w:val="7ACA7190"/>
    <w:rsid w:val="7B0B276E"/>
    <w:rsid w:val="7B2D4678"/>
    <w:rsid w:val="7B2F3497"/>
    <w:rsid w:val="7B3A1A33"/>
    <w:rsid w:val="7B8330AA"/>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8D2B6B"/>
    <w:rsid w:val="7C9E08D4"/>
    <w:rsid w:val="7CA103C5"/>
    <w:rsid w:val="7CB974BC"/>
    <w:rsid w:val="7CC06294"/>
    <w:rsid w:val="7CC92729"/>
    <w:rsid w:val="7CEF2EDE"/>
    <w:rsid w:val="7D1F125E"/>
    <w:rsid w:val="7D2D1C58"/>
    <w:rsid w:val="7D586CD5"/>
    <w:rsid w:val="7D8F4629"/>
    <w:rsid w:val="7D985324"/>
    <w:rsid w:val="7DA77C5D"/>
    <w:rsid w:val="7DC154DE"/>
    <w:rsid w:val="7DD141C0"/>
    <w:rsid w:val="7DDC134B"/>
    <w:rsid w:val="7DF32EA2"/>
    <w:rsid w:val="7E17093E"/>
    <w:rsid w:val="7E6C128B"/>
    <w:rsid w:val="7E8B48A1"/>
    <w:rsid w:val="7E8F2A06"/>
    <w:rsid w:val="7E9B156F"/>
    <w:rsid w:val="7ECB1729"/>
    <w:rsid w:val="7EE342FA"/>
    <w:rsid w:val="7EE84089"/>
    <w:rsid w:val="7EF23159"/>
    <w:rsid w:val="7EF26CB5"/>
    <w:rsid w:val="7F1E5CFC"/>
    <w:rsid w:val="7F203823"/>
    <w:rsid w:val="7F315A30"/>
    <w:rsid w:val="7F4B1427"/>
    <w:rsid w:val="7FF66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6">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8">
    <w:name w:val="heading 3"/>
    <w:basedOn w:val="1"/>
    <w:next w:val="1"/>
    <w:link w:val="51"/>
    <w:qFormat/>
    <w:uiPriority w:val="9"/>
    <w:pPr>
      <w:keepNext/>
      <w:keepLines/>
      <w:spacing w:before="260" w:after="260" w:line="416" w:lineRule="auto"/>
      <w:outlineLvl w:val="2"/>
    </w:pPr>
    <w:rPr>
      <w:b/>
      <w:bCs/>
      <w:sz w:val="32"/>
      <w:szCs w:val="32"/>
    </w:rPr>
  </w:style>
  <w:style w:type="paragraph" w:styleId="9">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paragraph" w:styleId="3">
    <w:name w:val="Body Text Indent"/>
    <w:basedOn w:val="1"/>
    <w:next w:val="4"/>
    <w:qFormat/>
    <w:uiPriority w:val="0"/>
    <w:pPr>
      <w:spacing w:after="120"/>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unhideWhenUsed/>
    <w:qFormat/>
    <w:uiPriority w:val="39"/>
    <w:pPr>
      <w:ind w:left="1260"/>
      <w:jc w:val="left"/>
    </w:pPr>
    <w:rPr>
      <w:sz w:val="18"/>
      <w:szCs w:val="18"/>
    </w:rPr>
  </w:style>
  <w:style w:type="paragraph" w:styleId="10">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1">
    <w:name w:val="annotation text"/>
    <w:basedOn w:val="1"/>
    <w:link w:val="48"/>
    <w:qFormat/>
    <w:uiPriority w:val="0"/>
    <w:pPr>
      <w:jc w:val="left"/>
    </w:pPr>
    <w:rPr>
      <w:rFonts w:ascii="Arial" w:hAnsi="Arial" w:eastAsia="黑体" w:cs="Arial"/>
    </w:rPr>
  </w:style>
  <w:style w:type="paragraph" w:styleId="12">
    <w:name w:val="Body Text"/>
    <w:basedOn w:val="1"/>
    <w:qFormat/>
    <w:uiPriority w:val="0"/>
    <w:pPr>
      <w:spacing w:after="120"/>
    </w:pPr>
    <w:rPr>
      <w:rFonts w:ascii="华文中宋" w:hAnsi="华文中宋" w:eastAsia="华文中宋" w:cs="华文中宋"/>
      <w:szCs w:val="24"/>
      <w:lang w:val="zh-CN"/>
    </w:rPr>
  </w:style>
  <w:style w:type="paragraph" w:styleId="13">
    <w:name w:val="Block Text"/>
    <w:basedOn w:val="1"/>
    <w:next w:val="12"/>
    <w:qFormat/>
    <w:uiPriority w:val="0"/>
    <w:pPr>
      <w:spacing w:line="320" w:lineRule="exact"/>
      <w:ind w:left="1159" w:leftChars="320" w:right="153" w:rightChars="73" w:hanging="487" w:hangingChars="203"/>
    </w:pPr>
    <w:rPr>
      <w:snapToGrid w:val="0"/>
      <w:kern w:val="0"/>
      <w:sz w:val="24"/>
      <w:szCs w:val="20"/>
    </w:rPr>
  </w:style>
  <w:style w:type="paragraph" w:styleId="14">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5">
    <w:name w:val="Plain Text"/>
    <w:basedOn w:val="1"/>
    <w:link w:val="38"/>
    <w:qFormat/>
    <w:uiPriority w:val="99"/>
    <w:rPr>
      <w:rFonts w:ascii="宋体" w:hAnsi="Courier New" w:eastAsia="宋体" w:cs="宋体"/>
      <w:szCs w:val="22"/>
    </w:rPr>
  </w:style>
  <w:style w:type="paragraph" w:styleId="16">
    <w:name w:val="Date"/>
    <w:basedOn w:val="1"/>
    <w:next w:val="1"/>
    <w:link w:val="45"/>
    <w:qFormat/>
    <w:uiPriority w:val="0"/>
    <w:rPr>
      <w:rFonts w:ascii="Arial" w:hAnsi="Arial" w:eastAsia="宋体" w:cs="Arial"/>
      <w:b/>
      <w:sz w:val="28"/>
    </w:rPr>
  </w:style>
  <w:style w:type="paragraph" w:styleId="17">
    <w:name w:val="Balloon Text"/>
    <w:basedOn w:val="1"/>
    <w:link w:val="32"/>
    <w:qFormat/>
    <w:uiPriority w:val="99"/>
    <w:rPr>
      <w:sz w:val="18"/>
      <w:szCs w:val="18"/>
    </w:rPr>
  </w:style>
  <w:style w:type="paragraph" w:styleId="18">
    <w:name w:val="footer"/>
    <w:basedOn w:val="1"/>
    <w:link w:val="37"/>
    <w:qFormat/>
    <w:uiPriority w:val="99"/>
    <w:pPr>
      <w:tabs>
        <w:tab w:val="center" w:pos="4153"/>
        <w:tab w:val="right" w:pos="8306"/>
      </w:tabs>
      <w:snapToGrid w:val="0"/>
      <w:jc w:val="left"/>
    </w:pPr>
    <w:rPr>
      <w:sz w:val="18"/>
      <w:szCs w:val="18"/>
    </w:rPr>
  </w:style>
  <w:style w:type="paragraph" w:styleId="19">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1">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2">
    <w:name w:val="Normal (Web)"/>
    <w:basedOn w:val="1"/>
    <w:next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11"/>
    <w:next w:val="11"/>
    <w:link w:val="59"/>
    <w:qFormat/>
    <w:uiPriority w:val="99"/>
    <w:rPr>
      <w:rFonts w:ascii="方正仿宋_GB2312" w:hAnsi="方正仿宋_GB2312" w:eastAsia="方正仿宋_GB2312" w:cs="方正仿宋_GB2312"/>
      <w:b/>
      <w:bCs/>
    </w:rPr>
  </w:style>
  <w:style w:type="paragraph" w:styleId="25">
    <w:name w:val="Body Text First Indent"/>
    <w:basedOn w:val="12"/>
    <w:qFormat/>
    <w:uiPriority w:val="99"/>
    <w:pPr>
      <w:ind w:firstLine="420" w:firstLineChars="1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7"/>
    <w:qFormat/>
    <w:uiPriority w:val="99"/>
    <w:rPr>
      <w:rFonts w:ascii="方正仿宋_GB2312" w:hAnsi="方正仿宋_GB2312" w:eastAsia="方正仿宋_GB2312" w:cs="方正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9"/>
    <w:qFormat/>
    <w:uiPriority w:val="99"/>
    <w:rPr>
      <w:rFonts w:ascii="方正仿宋_GB2312" w:hAnsi="方正仿宋_GB2312" w:eastAsia="方正仿宋_GB2312" w:cs="方正仿宋_GB2312"/>
      <w:sz w:val="18"/>
      <w:szCs w:val="18"/>
    </w:rPr>
  </w:style>
  <w:style w:type="character" w:customStyle="1" w:styleId="37">
    <w:name w:val="页脚 Char"/>
    <w:basedOn w:val="28"/>
    <w:link w:val="18"/>
    <w:qFormat/>
    <w:uiPriority w:val="99"/>
    <w:rPr>
      <w:rFonts w:ascii="方正仿宋_GB2312" w:hAnsi="方正仿宋_GB2312" w:eastAsia="方正仿宋_GB2312" w:cs="方正仿宋_GB2312"/>
      <w:sz w:val="18"/>
      <w:szCs w:val="18"/>
    </w:rPr>
  </w:style>
  <w:style w:type="character" w:customStyle="1" w:styleId="38">
    <w:name w:val="纯文本 Char"/>
    <w:link w:val="15"/>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方正仿宋_GB2312" w:hAnsi="方正仿宋_GB2312" w:eastAsia="方正仿宋_GB2312" w:cs="方正仿宋_GB2312"/>
      <w:szCs w:val="20"/>
    </w:rPr>
  </w:style>
  <w:style w:type="character" w:customStyle="1" w:styleId="45">
    <w:name w:val="日期 Char"/>
    <w:link w:val="16"/>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方正仿宋_GB2312" w:hAnsi="方正仿宋_GB2312" w:eastAsia="方正仿宋_GB2312" w:cs="方正仿宋_GB2312"/>
      <w:szCs w:val="20"/>
    </w:rPr>
  </w:style>
  <w:style w:type="character" w:customStyle="1" w:styleId="48">
    <w:name w:val="批注文字 Char1"/>
    <w:link w:val="11"/>
    <w:qFormat/>
    <w:uiPriority w:val="0"/>
    <w:rPr>
      <w:rFonts w:ascii="Arial" w:hAnsi="Arial" w:eastAsia="黑体" w:cs="Arial"/>
      <w:szCs w:val="20"/>
    </w:rPr>
  </w:style>
  <w:style w:type="character" w:customStyle="1" w:styleId="49">
    <w:name w:val="标题 1 Char"/>
    <w:basedOn w:val="28"/>
    <w:link w:val="6"/>
    <w:qFormat/>
    <w:uiPriority w:val="9"/>
    <w:rPr>
      <w:rFonts w:ascii="方正仿宋_GB2312" w:hAnsi="方正仿宋_GB2312" w:eastAsia="方正仿宋_GB2312" w:cs="方正仿宋_GB2312"/>
      <w:b/>
      <w:bCs/>
      <w:kern w:val="44"/>
      <w:sz w:val="44"/>
      <w:szCs w:val="44"/>
    </w:rPr>
  </w:style>
  <w:style w:type="paragraph" w:customStyle="1" w:styleId="50">
    <w:name w:val="TOC 标题1"/>
    <w:basedOn w:val="6"/>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8"/>
    <w:qFormat/>
    <w:uiPriority w:val="9"/>
    <w:rPr>
      <w:rFonts w:ascii="方正仿宋_GB2312" w:hAnsi="方正仿宋_GB2312" w:eastAsia="方正仿宋_GB2312" w:cs="方正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herese" w:hAnsi="Therese"/>
      <w:color w:val="000000"/>
      <w:sz w:val="22"/>
      <w:szCs w:val="22"/>
    </w:rPr>
  </w:style>
  <w:style w:type="character" w:customStyle="1" w:styleId="54">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9"/>
    <w:qFormat/>
    <w:uiPriority w:val="0"/>
    <w:rPr>
      <w:rFonts w:ascii="方正仿宋_GB2312" w:hAnsi="方正仿宋_GB2312" w:eastAsia="方正仿宋_GB2312" w:cs="方正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4"/>
    <w:qFormat/>
    <w:uiPriority w:val="99"/>
    <w:rPr>
      <w:rFonts w:ascii="方正仿宋_GB2312" w:hAnsi="方正仿宋_GB2312" w:eastAsia="方正仿宋_GB2312" w:cs="方正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5">
    <w:name w:val="_Style 7"/>
    <w:basedOn w:val="1"/>
    <w:next w:val="4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55</Pages>
  <Words>1349</Words>
  <Characters>1476</Characters>
  <Lines>1</Lines>
  <Paragraphs>1</Paragraphs>
  <TotalTime>11</TotalTime>
  <ScaleCrop>false</ScaleCrop>
  <LinksUpToDate>false</LinksUpToDate>
  <CharactersWithSpaces>1572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WPS_1725859126</cp:lastModifiedBy>
  <cp:lastPrinted>2019-12-07T15:18:00Z</cp:lastPrinted>
  <dcterms:modified xsi:type="dcterms:W3CDTF">2025-11-20T02:26:36Z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F16A326A20414061AE21255AD88F9FB9_13</vt:lpwstr>
  </property>
  <property fmtid="{D5CDD505-2E9C-101B-9397-08002B2CF9AE}" pid="4" name="KSOTemplateDocerSaveRecord">
    <vt:lpwstr>eyJoZGlkIjoiZjk0Mjc3ZDkwMjliN2ZmMzIwNDVhYjI4NGQxN2FlODkiLCJ1c2VySWQiOiIxNjMzNjY2NDM0In0=</vt:lpwstr>
  </property>
</Properties>
</file>