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30B4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1518E819">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4E5035B2">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427DEDC1">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服务类</w:t>
      </w:r>
      <w:r>
        <w:rPr>
          <w:rFonts w:hint="eastAsia" w:ascii="宋体" w:hAnsi="宋体" w:eastAsia="宋体" w:cs="宋体"/>
          <w:b/>
          <w:bCs/>
          <w:color w:val="auto"/>
          <w:sz w:val="52"/>
          <w:szCs w:val="52"/>
          <w:highlight w:val="none"/>
          <w:lang w:eastAsia="zh-CN"/>
        </w:rPr>
        <w:t>）</w:t>
      </w:r>
    </w:p>
    <w:p w14:paraId="19E9AE6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2AF50B1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B20C164">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3D774C1">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E7F1FB6">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028967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988345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CC6333D">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pacing w:val="20"/>
          <w:kern w:val="0"/>
          <w:sz w:val="32"/>
          <w:szCs w:val="32"/>
          <w:highlight w:val="none"/>
        </w:rPr>
        <w:t>项目名称：</w:t>
      </w:r>
      <w:r>
        <w:rPr>
          <w:rFonts w:hint="eastAsia" w:ascii="宋体" w:hAnsi="宋体" w:eastAsia="宋体" w:cs="宋体"/>
          <w:b/>
          <w:color w:val="auto"/>
          <w:spacing w:val="20"/>
          <w:kern w:val="0"/>
          <w:sz w:val="32"/>
          <w:szCs w:val="32"/>
          <w:highlight w:val="none"/>
          <w:u w:val="single"/>
          <w:lang w:eastAsia="zh-CN"/>
        </w:rPr>
        <w:t>滁州市第二人民医院绿化养护项目</w:t>
      </w:r>
    </w:p>
    <w:p w14:paraId="6B2E89D0">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项目编号：</w:t>
      </w:r>
      <w:r>
        <w:rPr>
          <w:rFonts w:hint="eastAsia" w:ascii="宋体" w:hAnsi="宋体" w:eastAsia="宋体" w:cs="宋体"/>
          <w:b/>
          <w:color w:val="auto"/>
          <w:spacing w:val="20"/>
          <w:kern w:val="0"/>
          <w:sz w:val="32"/>
          <w:szCs w:val="32"/>
          <w:highlight w:val="none"/>
          <w:u w:val="single"/>
          <w:lang w:val="en-US" w:eastAsia="zh-CN"/>
        </w:rPr>
        <w:t>CZEY-2025002</w:t>
      </w:r>
    </w:p>
    <w:p w14:paraId="4CA69ACD">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u w:val="single"/>
          <w:lang w:val="en-US" w:eastAsia="zh-CN"/>
        </w:rPr>
      </w:pPr>
      <w:r>
        <w:rPr>
          <w:rFonts w:hint="eastAsia" w:ascii="宋体" w:hAnsi="宋体" w:eastAsia="宋体" w:cs="宋体"/>
          <w:b/>
          <w:color w:val="auto"/>
          <w:spacing w:val="20"/>
          <w:kern w:val="0"/>
          <w:sz w:val="32"/>
          <w:szCs w:val="32"/>
          <w:highlight w:val="none"/>
        </w:rPr>
        <w:t>采 购 人：</w:t>
      </w:r>
      <w:r>
        <w:rPr>
          <w:rFonts w:hint="eastAsia" w:ascii="宋体" w:hAnsi="宋体" w:eastAsia="宋体" w:cs="宋体"/>
          <w:b/>
          <w:color w:val="auto"/>
          <w:spacing w:val="20"/>
          <w:kern w:val="0"/>
          <w:sz w:val="32"/>
          <w:szCs w:val="32"/>
          <w:highlight w:val="none"/>
          <w:u w:val="single"/>
          <w:lang w:val="en-US" w:eastAsia="zh-CN"/>
        </w:rPr>
        <w:t>滁州市第二人民医院（市传染病医院、市精神病医院）</w:t>
      </w:r>
    </w:p>
    <w:p w14:paraId="288E7DE6">
      <w:pPr>
        <w:tabs>
          <w:tab w:val="left" w:pos="2410"/>
        </w:tabs>
        <w:autoSpaceDE w:val="0"/>
        <w:autoSpaceDN w:val="0"/>
        <w:adjustRightInd w:val="0"/>
        <w:snapToGrid w:val="0"/>
        <w:spacing w:line="360" w:lineRule="auto"/>
        <w:ind w:firstLine="72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20"/>
          <w:kern w:val="0"/>
          <w:sz w:val="32"/>
          <w:szCs w:val="32"/>
          <w:highlight w:val="none"/>
        </w:rPr>
        <w:t>采购代理机构：</w:t>
      </w:r>
      <w:r>
        <w:rPr>
          <w:rFonts w:hint="eastAsia" w:ascii="宋体" w:hAnsi="宋体" w:eastAsia="宋体" w:cs="宋体"/>
          <w:b/>
          <w:color w:val="auto"/>
          <w:spacing w:val="20"/>
          <w:kern w:val="0"/>
          <w:sz w:val="32"/>
          <w:szCs w:val="32"/>
          <w:highlight w:val="none"/>
          <w:u w:val="single"/>
          <w:lang w:val="en-US" w:eastAsia="zh-CN"/>
        </w:rPr>
        <w:t>江苏川页工程项目管理有限公司</w:t>
      </w:r>
    </w:p>
    <w:p w14:paraId="78C90C6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3459CFA2">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lang w:val="en-US" w:eastAsia="zh-CN"/>
        </w:rPr>
        <w:t>2025</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lang w:val="en-US" w:eastAsia="zh-CN"/>
        </w:rPr>
        <w:t>5</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47D3D4E9">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p>
    <w:p w14:paraId="71BD8D80">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0DEE1B61">
      <w:pPr>
        <w:pStyle w:val="17"/>
        <w:tabs>
          <w:tab w:val="right" w:leader="dot" w:pos="8306"/>
        </w:tabs>
        <w:rPr>
          <w:rFonts w:hint="eastAsia" w:ascii="宋体" w:hAnsi="宋体" w:eastAsia="宋体" w:cs="宋体"/>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_Toc32331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_Toc32331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CBD537E">
      <w:pPr>
        <w:pStyle w:val="17"/>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_Toc8888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_Toc8888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EF24320">
      <w:pPr>
        <w:pStyle w:val="17"/>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_Toc22605 </w:instrText>
      </w:r>
      <w:r>
        <w:rPr>
          <w:rFonts w:hint="eastAsia" w:ascii="宋体" w:hAnsi="宋体" w:eastAsia="宋体" w:cs="宋体"/>
          <w:szCs w:val="24"/>
          <w:highlight w:val="none"/>
        </w:rPr>
        <w:fldChar w:fldCharType="separate"/>
      </w:r>
      <w:r>
        <w:rPr>
          <w:rFonts w:hint="eastAsia" w:ascii="宋体" w:hAnsi="宋体" w:eastAsia="宋体" w:cs="宋体"/>
          <w:lang w:eastAsia="zh-CN"/>
        </w:rPr>
        <w:t xml:space="preserve">第三章 </w:t>
      </w:r>
      <w:r>
        <w:rPr>
          <w:rFonts w:hint="eastAsia" w:ascii="宋体" w:hAnsi="宋体" w:eastAsia="宋体" w:cs="宋体"/>
          <w:lang w:val="en-US" w:eastAsia="zh-CN"/>
        </w:rPr>
        <w:t xml:space="preserve"> </w:t>
      </w:r>
      <w:r>
        <w:rPr>
          <w:rFonts w:hint="eastAsia" w:ascii="宋体" w:hAnsi="宋体" w:eastAsia="宋体" w:cs="宋体"/>
          <w:highlight w:val="none"/>
        </w:rPr>
        <w:t>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_Toc22605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D2FD81E">
      <w:pPr>
        <w:pStyle w:val="17"/>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_Toc3538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评标方法和标准（</w:t>
      </w:r>
      <w:r>
        <w:rPr>
          <w:rFonts w:hint="eastAsia" w:ascii="宋体" w:hAnsi="宋体" w:eastAsia="宋体" w:cs="宋体"/>
          <w:highlight w:val="none"/>
          <w:lang w:val="en-US" w:eastAsia="zh-CN"/>
        </w:rPr>
        <w:t>综合评分法</w:t>
      </w:r>
      <w:r>
        <w:rPr>
          <w:rFonts w:hint="eastAsia" w:ascii="宋体" w:hAnsi="宋体" w:eastAsia="宋体" w:cs="宋体"/>
          <w:highlight w:val="none"/>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_Toc3538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AA81B3B">
      <w:pPr>
        <w:pStyle w:val="17"/>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_Toc20405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_Toc20405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444ABE9A">
      <w:pPr>
        <w:pStyle w:val="17"/>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_Toc13555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_Toc13555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D314C17">
      <w:pPr>
        <w:pStyle w:val="17"/>
        <w:tabs>
          <w:tab w:val="right" w:leader="dot" w:pos="8306"/>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_Toc20819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七</w:t>
      </w:r>
      <w:r>
        <w:rPr>
          <w:rFonts w:hint="eastAsia" w:ascii="宋体" w:hAnsi="宋体" w:eastAsia="宋体" w:cs="宋体"/>
          <w:highlight w:val="none"/>
        </w:rPr>
        <w:t>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bookmarkStart w:id="224" w:name="_GoBack"/>
      <w:bookmarkEnd w:id="224"/>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_Toc20819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381CEEBD">
      <w:pPr>
        <w:spacing w:line="360" w:lineRule="auto"/>
        <w:jc w:val="center"/>
        <w:outlineLvl w:val="1"/>
        <w:rPr>
          <w:rFonts w:hint="eastAsia" w:ascii="宋体" w:hAnsi="宋体" w:eastAsia="宋体" w:cs="宋体"/>
          <w:b/>
          <w:color w:val="auto"/>
          <w:sz w:val="28"/>
          <w:highlight w:val="none"/>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color w:val="auto"/>
          <w:szCs w:val="24"/>
          <w:highlight w:val="none"/>
        </w:rPr>
        <w:fldChar w:fldCharType="end"/>
      </w:r>
    </w:p>
    <w:p w14:paraId="0AC2598F">
      <w:pPr>
        <w:numPr>
          <w:ilvl w:val="0"/>
          <w:numId w:val="1"/>
        </w:numPr>
        <w:spacing w:line="360" w:lineRule="auto"/>
        <w:jc w:val="center"/>
        <w:outlineLvl w:val="0"/>
        <w:rPr>
          <w:rFonts w:hint="eastAsia" w:ascii="宋体" w:hAnsi="宋体" w:eastAsia="宋体" w:cs="宋体"/>
          <w:b/>
          <w:color w:val="auto"/>
          <w:sz w:val="28"/>
          <w:highlight w:val="none"/>
        </w:rPr>
      </w:pPr>
      <w:bookmarkStart w:id="1" w:name="_Toc32331"/>
      <w:r>
        <w:rPr>
          <w:rFonts w:hint="eastAsia" w:ascii="宋体" w:hAnsi="宋体" w:eastAsia="宋体" w:cs="宋体"/>
          <w:b/>
          <w:color w:val="auto"/>
          <w:sz w:val="28"/>
          <w:highlight w:val="none"/>
        </w:rPr>
        <w:t xml:space="preserve"> 投标邀请</w:t>
      </w:r>
      <w:bookmarkEnd w:id="1"/>
    </w:p>
    <w:p w14:paraId="1A65579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8379505">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u w:val="single"/>
          <w:lang w:eastAsia="zh-CN"/>
        </w:rPr>
        <w:t>滁州市第二人民医院绿化养护项目</w:t>
      </w:r>
      <w:r>
        <w:rPr>
          <w:rFonts w:hint="eastAsia" w:ascii="宋体" w:hAnsi="宋体" w:eastAsia="宋体" w:cs="宋体"/>
          <w:color w:val="auto"/>
          <w:sz w:val="24"/>
          <w:highlight w:val="none"/>
        </w:rPr>
        <w:t>招标的潜在投标人应在</w:t>
      </w:r>
      <w:r>
        <w:rPr>
          <w:rFonts w:hint="eastAsia" w:ascii="宋体" w:hAnsi="宋体" w:eastAsia="宋体" w:cs="宋体"/>
          <w:color w:val="auto"/>
          <w:sz w:val="24"/>
          <w:highlight w:val="none"/>
          <w:u w:val="single"/>
          <w:lang w:eastAsia="zh-CN"/>
        </w:rPr>
        <w:t>滁州市第二人民医院</w:t>
      </w:r>
      <w:r>
        <w:rPr>
          <w:rFonts w:hint="eastAsia" w:ascii="宋体" w:hAnsi="宋体" w:eastAsia="宋体" w:cs="宋体"/>
          <w:color w:val="auto"/>
          <w:sz w:val="24"/>
          <w:highlight w:val="none"/>
          <w:u w:val="single"/>
        </w:rPr>
        <w:t>网（</w:t>
      </w:r>
      <w:r>
        <w:rPr>
          <w:rFonts w:hint="eastAsia" w:ascii="宋体" w:hAnsi="宋体" w:eastAsia="宋体" w:cs="宋体"/>
          <w:color w:val="auto"/>
          <w:sz w:val="24"/>
          <w:highlight w:val="none"/>
          <w:u w:val="single"/>
          <w:lang w:eastAsia="zh-CN"/>
        </w:rPr>
        <w:t>https://www.czsey.com/</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获取招标文件，并于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点00分</w:t>
      </w:r>
      <w:r>
        <w:rPr>
          <w:rFonts w:hint="eastAsia" w:ascii="宋体" w:hAnsi="宋体" w:eastAsia="宋体" w:cs="宋体"/>
          <w:color w:val="auto"/>
          <w:sz w:val="24"/>
          <w:highlight w:val="none"/>
        </w:rPr>
        <w:t>（北京时间）前递交投标文件。</w:t>
      </w:r>
    </w:p>
    <w:p w14:paraId="68B3C906">
      <w:pPr>
        <w:spacing w:line="360" w:lineRule="auto"/>
        <w:ind w:firstLine="437"/>
        <w:outlineLvl w:val="1"/>
        <w:rPr>
          <w:rFonts w:hint="eastAsia" w:ascii="宋体" w:hAnsi="宋体" w:eastAsia="宋体" w:cs="宋体"/>
          <w:b/>
          <w:bCs/>
          <w:color w:val="auto"/>
          <w:sz w:val="24"/>
          <w:szCs w:val="18"/>
          <w:highlight w:val="none"/>
        </w:rPr>
      </w:pPr>
      <w:bookmarkStart w:id="2" w:name="_Toc1381"/>
      <w:bookmarkStart w:id="3" w:name="_Toc31518"/>
      <w:r>
        <w:rPr>
          <w:rFonts w:hint="eastAsia" w:ascii="宋体" w:hAnsi="宋体" w:eastAsia="宋体" w:cs="宋体"/>
          <w:b/>
          <w:bCs/>
          <w:color w:val="auto"/>
          <w:sz w:val="24"/>
          <w:szCs w:val="18"/>
          <w:highlight w:val="none"/>
        </w:rPr>
        <w:t>一、</w:t>
      </w:r>
      <w:bookmarkEnd w:id="2"/>
      <w:r>
        <w:rPr>
          <w:rFonts w:hint="eastAsia" w:ascii="宋体" w:hAnsi="宋体" w:eastAsia="宋体" w:cs="宋体"/>
          <w:b/>
          <w:bCs/>
          <w:color w:val="auto"/>
          <w:sz w:val="24"/>
          <w:szCs w:val="18"/>
          <w:highlight w:val="none"/>
        </w:rPr>
        <w:t>项目基本情况</w:t>
      </w:r>
      <w:bookmarkEnd w:id="3"/>
    </w:p>
    <w:p w14:paraId="5430D39F">
      <w:pPr>
        <w:spacing w:line="360" w:lineRule="auto"/>
        <w:ind w:firstLine="435"/>
        <w:rPr>
          <w:rFonts w:hint="eastAsia" w:ascii="宋体" w:hAnsi="宋体" w:eastAsia="宋体" w:cs="宋体"/>
          <w:color w:val="auto"/>
          <w:sz w:val="24"/>
          <w:szCs w:val="18"/>
          <w:highlight w:val="none"/>
          <w:u w:val="none"/>
          <w:lang w:eastAsia="zh-CN"/>
        </w:rPr>
      </w:pPr>
      <w:r>
        <w:rPr>
          <w:rFonts w:hint="eastAsia" w:ascii="宋体" w:hAnsi="宋体" w:eastAsia="宋体" w:cs="宋体"/>
          <w:color w:val="auto"/>
          <w:sz w:val="24"/>
          <w:highlight w:val="none"/>
        </w:rPr>
        <w:t>1.项目编号：</w:t>
      </w:r>
      <w:r>
        <w:rPr>
          <w:rFonts w:hint="eastAsia" w:ascii="宋体" w:hAnsi="宋体" w:eastAsia="宋体" w:cs="宋体"/>
          <w:color w:val="auto"/>
          <w:sz w:val="24"/>
          <w:szCs w:val="18"/>
          <w:highlight w:val="none"/>
          <w:u w:val="none"/>
          <w:lang w:eastAsia="zh-CN"/>
        </w:rPr>
        <w:t>CZEY-2025002</w:t>
      </w:r>
    </w:p>
    <w:p w14:paraId="676F3F89">
      <w:pPr>
        <w:spacing w:line="360" w:lineRule="auto"/>
        <w:ind w:firstLine="435"/>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2.项目名称：</w:t>
      </w:r>
      <w:r>
        <w:rPr>
          <w:rFonts w:hint="eastAsia" w:ascii="宋体" w:hAnsi="宋体" w:eastAsia="宋体" w:cs="宋体"/>
          <w:color w:val="auto"/>
          <w:sz w:val="24"/>
          <w:szCs w:val="18"/>
          <w:highlight w:val="none"/>
          <w:u w:val="none"/>
          <w:lang w:eastAsia="zh-CN"/>
        </w:rPr>
        <w:t>滁州市第二人民医院绿化养护项目</w:t>
      </w:r>
    </w:p>
    <w:p w14:paraId="77CC48C5">
      <w:pPr>
        <w:spacing w:line="360" w:lineRule="auto"/>
        <w:ind w:firstLine="435"/>
        <w:rPr>
          <w:rFonts w:hint="eastAsia" w:ascii="宋体" w:hAnsi="宋体" w:eastAsia="宋体" w:cs="宋体"/>
          <w:color w:val="auto"/>
          <w:sz w:val="24"/>
          <w:szCs w:val="18"/>
          <w:highlight w:val="yellow"/>
          <w:u w:val="none"/>
        </w:rPr>
      </w:pPr>
      <w:r>
        <w:rPr>
          <w:rFonts w:hint="eastAsia" w:ascii="宋体" w:hAnsi="宋体" w:eastAsia="宋体" w:cs="宋体"/>
          <w:color w:val="auto"/>
          <w:sz w:val="24"/>
          <w:highlight w:val="yellow"/>
          <w:u w:val="none"/>
        </w:rPr>
        <w:t>3.预算金额：</w:t>
      </w:r>
      <w:r>
        <w:rPr>
          <w:rFonts w:hint="eastAsia" w:ascii="宋体" w:hAnsi="宋体" w:eastAsia="宋体" w:cs="宋体"/>
          <w:color w:val="auto"/>
          <w:sz w:val="24"/>
          <w:szCs w:val="18"/>
          <w:highlight w:val="yellow"/>
          <w:u w:val="none"/>
          <w:lang w:val="en-US" w:eastAsia="zh-CN"/>
        </w:rPr>
        <w:t>79675元/年</w:t>
      </w:r>
    </w:p>
    <w:p w14:paraId="58D979B7">
      <w:pPr>
        <w:spacing w:line="360" w:lineRule="auto"/>
        <w:ind w:firstLine="435"/>
        <w:rPr>
          <w:rFonts w:hint="eastAsia" w:ascii="宋体" w:hAnsi="宋体" w:eastAsia="宋体" w:cs="宋体"/>
          <w:color w:val="auto"/>
          <w:sz w:val="24"/>
          <w:szCs w:val="18"/>
          <w:highlight w:val="yellow"/>
          <w:u w:val="none"/>
        </w:rPr>
      </w:pPr>
      <w:r>
        <w:rPr>
          <w:rFonts w:hint="eastAsia" w:ascii="宋体" w:hAnsi="宋体" w:eastAsia="宋体" w:cs="宋体"/>
          <w:color w:val="auto"/>
          <w:sz w:val="24"/>
          <w:highlight w:val="yellow"/>
          <w:u w:val="none"/>
        </w:rPr>
        <w:t>4.最高限价：</w:t>
      </w:r>
      <w:r>
        <w:rPr>
          <w:rFonts w:hint="eastAsia" w:ascii="宋体" w:hAnsi="宋体" w:eastAsia="宋体" w:cs="宋体"/>
          <w:color w:val="auto"/>
          <w:sz w:val="24"/>
          <w:highlight w:val="yellow"/>
          <w:u w:val="none"/>
          <w:lang w:val="en-US" w:eastAsia="zh-CN"/>
        </w:rPr>
        <w:t>单价：</w:t>
      </w:r>
      <w:r>
        <w:rPr>
          <w:rFonts w:hint="eastAsia" w:ascii="宋体" w:hAnsi="宋体" w:eastAsia="宋体" w:cs="宋体"/>
          <w:color w:val="auto"/>
          <w:sz w:val="24"/>
          <w:szCs w:val="18"/>
          <w:highlight w:val="yellow"/>
          <w:u w:val="none"/>
          <w:lang w:val="en-US" w:eastAsia="zh-CN"/>
        </w:rPr>
        <w:t>2.5元/㎡，总价：79675元/年</w:t>
      </w:r>
      <w:r>
        <w:rPr>
          <w:rFonts w:hint="eastAsia" w:ascii="宋体" w:hAnsi="宋体" w:eastAsia="宋体" w:cs="宋体"/>
          <w:color w:val="auto"/>
          <w:sz w:val="24"/>
          <w:szCs w:val="18"/>
          <w:highlight w:val="yellow"/>
          <w:u w:val="none"/>
        </w:rPr>
        <w:t>，高于最高限价其投标文件按无效投标处理。</w:t>
      </w:r>
    </w:p>
    <w:p w14:paraId="389926A7">
      <w:pPr>
        <w:spacing w:line="360" w:lineRule="auto"/>
        <w:ind w:firstLine="435"/>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5.采购需求：本次绿化养护共分为五处：一是西区农疗场地绿化面积</w:t>
      </w:r>
      <w:bookmarkStart w:id="4" w:name="OLE_LINK2"/>
      <w:r>
        <w:rPr>
          <w:rFonts w:hint="eastAsia" w:ascii="宋体" w:hAnsi="宋体" w:eastAsia="宋体" w:cs="宋体"/>
          <w:color w:val="auto"/>
          <w:sz w:val="24"/>
          <w:highlight w:val="none"/>
          <w:u w:val="none"/>
          <w:lang w:val="en-US" w:eastAsia="zh-CN"/>
        </w:rPr>
        <w:t>约</w:t>
      </w:r>
      <w:bookmarkEnd w:id="4"/>
      <w:r>
        <w:rPr>
          <w:rFonts w:hint="eastAsia" w:ascii="宋体" w:hAnsi="宋体" w:eastAsia="宋体" w:cs="宋体"/>
          <w:color w:val="auto"/>
          <w:sz w:val="24"/>
          <w:highlight w:val="none"/>
          <w:u w:val="none"/>
          <w:lang w:val="en-US" w:eastAsia="zh-CN"/>
        </w:rPr>
        <w:t>5300平方米，二是西院区绿化面积约13870平方米，三是西院区西北角绿化面积约3200平方米，四是东院区绿化面积约5500平方米，五是新建传染科住院综合楼绿化面积约4000平方米。具体服务要求及服务内容以采购需求为准；</w:t>
      </w:r>
    </w:p>
    <w:p w14:paraId="5E21A16E">
      <w:pPr>
        <w:spacing w:line="360" w:lineRule="auto"/>
        <w:ind w:firstLine="435"/>
        <w:rPr>
          <w:rFonts w:hint="eastAsia" w:ascii="宋体" w:hAnsi="宋体" w:eastAsia="宋体" w:cs="宋体"/>
          <w:color w:val="auto"/>
          <w:sz w:val="24"/>
          <w:highlight w:val="yellow"/>
          <w:u w:val="none"/>
        </w:rPr>
      </w:pPr>
      <w:r>
        <w:rPr>
          <w:rFonts w:hint="eastAsia" w:ascii="宋体" w:hAnsi="宋体" w:eastAsia="宋体" w:cs="宋体"/>
          <w:color w:val="auto"/>
          <w:sz w:val="24"/>
          <w:highlight w:val="yellow"/>
          <w:u w:val="none"/>
        </w:rPr>
        <w:t>6.合同履行期限：</w:t>
      </w:r>
      <w:r>
        <w:rPr>
          <w:rFonts w:hint="eastAsia" w:ascii="宋体" w:hAnsi="宋体" w:eastAsia="宋体" w:cs="宋体"/>
          <w:color w:val="auto"/>
          <w:sz w:val="24"/>
          <w:szCs w:val="18"/>
          <w:highlight w:val="yellow"/>
          <w:u w:val="none"/>
          <w:lang w:eastAsia="zh-CN"/>
        </w:rPr>
        <w:t>三年（合同一年一签）</w:t>
      </w:r>
      <w:r>
        <w:rPr>
          <w:rFonts w:hint="eastAsia" w:ascii="宋体" w:hAnsi="宋体" w:eastAsia="宋体" w:cs="宋体"/>
          <w:color w:val="auto"/>
          <w:sz w:val="24"/>
          <w:szCs w:val="18"/>
          <w:highlight w:val="yellow"/>
          <w:u w:val="none"/>
        </w:rPr>
        <w:t>。</w:t>
      </w:r>
    </w:p>
    <w:p w14:paraId="1486326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7.本项目不接受联合体投标。</w:t>
      </w:r>
    </w:p>
    <w:p w14:paraId="3CB5EECD">
      <w:pPr>
        <w:spacing w:line="360" w:lineRule="auto"/>
        <w:ind w:firstLine="437"/>
        <w:outlineLvl w:val="1"/>
        <w:rPr>
          <w:rFonts w:hint="eastAsia" w:ascii="宋体" w:hAnsi="宋体" w:eastAsia="宋体" w:cs="宋体"/>
          <w:b/>
          <w:bCs/>
          <w:color w:val="auto"/>
          <w:sz w:val="24"/>
          <w:szCs w:val="18"/>
          <w:highlight w:val="none"/>
        </w:rPr>
      </w:pPr>
      <w:bookmarkStart w:id="5" w:name="_Toc13530"/>
      <w:bookmarkStart w:id="6" w:name="_Toc9204"/>
      <w:r>
        <w:rPr>
          <w:rFonts w:hint="eastAsia" w:ascii="宋体" w:hAnsi="宋体" w:eastAsia="宋体" w:cs="宋体"/>
          <w:b/>
          <w:bCs/>
          <w:color w:val="auto"/>
          <w:sz w:val="24"/>
          <w:szCs w:val="18"/>
          <w:highlight w:val="none"/>
        </w:rPr>
        <w:t>二、</w:t>
      </w:r>
      <w:bookmarkEnd w:id="5"/>
      <w:r>
        <w:rPr>
          <w:rFonts w:hint="eastAsia" w:ascii="宋体" w:hAnsi="宋体" w:eastAsia="宋体" w:cs="宋体"/>
          <w:b/>
          <w:bCs/>
          <w:color w:val="auto"/>
          <w:sz w:val="24"/>
          <w:szCs w:val="18"/>
          <w:highlight w:val="none"/>
        </w:rPr>
        <w:t>申请人的资格要求</w:t>
      </w:r>
      <w:bookmarkEnd w:id="6"/>
    </w:p>
    <w:p w14:paraId="1D05826C">
      <w:pPr>
        <w:spacing w:line="360" w:lineRule="auto"/>
        <w:ind w:firstLine="435"/>
        <w:outlineLvl w:val="9"/>
        <w:rPr>
          <w:rFonts w:hint="eastAsia" w:ascii="宋体" w:hAnsi="宋体" w:eastAsia="宋体" w:cs="宋体"/>
          <w:color w:val="auto"/>
          <w:sz w:val="24"/>
          <w:highlight w:val="none"/>
        </w:rPr>
      </w:pPr>
      <w:bookmarkStart w:id="7" w:name="_Toc30110"/>
      <w:r>
        <w:rPr>
          <w:rFonts w:hint="eastAsia" w:ascii="宋体" w:hAnsi="宋体" w:eastAsia="宋体" w:cs="宋体"/>
          <w:color w:val="auto"/>
          <w:sz w:val="24"/>
          <w:highlight w:val="none"/>
        </w:rPr>
        <w:t>1.满足《中华人民共和国政府采购法》第二十二条规定；</w:t>
      </w:r>
    </w:p>
    <w:p w14:paraId="48F5C643">
      <w:pPr>
        <w:spacing w:line="360" w:lineRule="auto"/>
        <w:ind w:firstLine="435"/>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u w:val="single"/>
          <w:lang w:val="en-US" w:eastAsia="zh-CN"/>
        </w:rPr>
        <w:t>无；</w:t>
      </w:r>
    </w:p>
    <w:p w14:paraId="6007F5CA">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kern w:val="2"/>
          <w:sz w:val="24"/>
          <w:szCs w:val="20"/>
          <w:highlight w:val="none"/>
          <w:lang w:val="en-US" w:eastAsia="zh-CN" w:bidi="ar-SA"/>
        </w:rPr>
        <w:t>3.</w:t>
      </w:r>
      <w:r>
        <w:rPr>
          <w:rFonts w:hint="eastAsia" w:ascii="宋体" w:hAnsi="宋体" w:eastAsia="宋体" w:cs="宋体"/>
          <w:color w:val="auto"/>
          <w:sz w:val="24"/>
          <w:highlight w:val="none"/>
          <w:lang w:val="en-US" w:eastAsia="zh-CN"/>
        </w:rPr>
        <w:t xml:space="preserve">信誉要求：投标人不得存在以下情形： </w:t>
      </w:r>
    </w:p>
    <w:p w14:paraId="6E519696">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4.投标人所属分公司、办事处等分支机构存在第 4 款信誉要求①-⑥项 情形之一的，接受投标人参加本项目。 </w:t>
      </w:r>
    </w:p>
    <w:p w14:paraId="0535E3F9">
      <w:pPr>
        <w:spacing w:line="360" w:lineRule="auto"/>
        <w:ind w:firstLine="435"/>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highlight w:val="none"/>
          <w:lang w:val="en-US" w:eastAsia="zh-CN"/>
        </w:rPr>
        <w:t>备注：第3、4条自行查询或承诺。</w:t>
      </w:r>
    </w:p>
    <w:p w14:paraId="73336743">
      <w:pPr>
        <w:spacing w:line="360" w:lineRule="auto"/>
        <w:ind w:firstLine="437"/>
        <w:outlineLvl w:val="1"/>
        <w:rPr>
          <w:rFonts w:hint="eastAsia" w:ascii="宋体" w:hAnsi="宋体" w:eastAsia="宋体" w:cs="宋体"/>
          <w:b/>
          <w:bCs/>
          <w:color w:val="auto"/>
          <w:sz w:val="24"/>
          <w:szCs w:val="18"/>
          <w:highlight w:val="none"/>
        </w:rPr>
      </w:pPr>
      <w:bookmarkStart w:id="8" w:name="_Toc21681"/>
      <w:r>
        <w:rPr>
          <w:rFonts w:hint="eastAsia" w:ascii="宋体" w:hAnsi="宋体" w:eastAsia="宋体" w:cs="宋体"/>
          <w:b/>
          <w:bCs/>
          <w:color w:val="auto"/>
          <w:sz w:val="24"/>
          <w:szCs w:val="18"/>
          <w:highlight w:val="none"/>
        </w:rPr>
        <w:t>三、</w:t>
      </w:r>
      <w:bookmarkEnd w:id="7"/>
      <w:r>
        <w:rPr>
          <w:rFonts w:hint="eastAsia" w:ascii="宋体" w:hAnsi="宋体" w:eastAsia="宋体" w:cs="宋体"/>
          <w:b/>
          <w:bCs/>
          <w:color w:val="auto"/>
          <w:sz w:val="24"/>
          <w:szCs w:val="18"/>
          <w:highlight w:val="none"/>
        </w:rPr>
        <w:t>获取招标文件</w:t>
      </w:r>
      <w:bookmarkEnd w:id="8"/>
    </w:p>
    <w:p w14:paraId="4CFCF87F">
      <w:pPr>
        <w:spacing w:line="360" w:lineRule="auto"/>
        <w:ind w:firstLine="540"/>
        <w:rPr>
          <w:rFonts w:hint="eastAsia" w:ascii="宋体" w:hAnsi="宋体" w:eastAsia="宋体" w:cs="宋体"/>
          <w:i/>
          <w:iCs/>
          <w:sz w:val="24"/>
          <w:szCs w:val="24"/>
          <w:highlight w:val="none"/>
        </w:rPr>
      </w:pPr>
      <w:bookmarkStart w:id="9" w:name="_Toc7957"/>
      <w:bookmarkStart w:id="10" w:name="_Toc25902"/>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19</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26</w:t>
      </w:r>
      <w:r>
        <w:rPr>
          <w:rFonts w:hint="eastAsia" w:ascii="宋体" w:hAnsi="宋体" w:eastAsia="宋体" w:cs="宋体"/>
          <w:sz w:val="24"/>
          <w:szCs w:val="24"/>
          <w:highlight w:val="none"/>
          <w:u w:val="none"/>
        </w:rPr>
        <w:t>日</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s="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s="宋体"/>
          <w:color w:val="auto"/>
          <w:sz w:val="24"/>
          <w:szCs w:val="18"/>
          <w:highlight w:val="none"/>
          <w:u w:val="single"/>
          <w:lang w:val="en-US" w:eastAsia="zh-CN"/>
        </w:rPr>
        <w:t>滁州市第二人民医院官网</w:t>
      </w:r>
    </w:p>
    <w:p w14:paraId="56FB2AAB">
      <w:pPr>
        <w:spacing w:line="360" w:lineRule="auto"/>
        <w:ind w:firstLine="54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2F8BC71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四、</w:t>
      </w:r>
      <w:bookmarkEnd w:id="9"/>
      <w:r>
        <w:rPr>
          <w:rFonts w:hint="eastAsia" w:ascii="宋体" w:hAnsi="宋体" w:eastAsia="宋体" w:cs="宋体"/>
          <w:b/>
          <w:bCs/>
          <w:color w:val="auto"/>
          <w:sz w:val="24"/>
          <w:szCs w:val="18"/>
          <w:highlight w:val="none"/>
        </w:rPr>
        <w:t>提交投标文件截止时间、开标时间和地点</w:t>
      </w:r>
      <w:bookmarkEnd w:id="10"/>
    </w:p>
    <w:p w14:paraId="68B735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1" w:name="_Toc5082"/>
      <w:r>
        <w:rPr>
          <w:rFonts w:hint="eastAsia" w:ascii="宋体" w:hAnsi="宋体" w:eastAsia="宋体" w:cs="宋体"/>
          <w:bCs/>
          <w:sz w:val="24"/>
          <w:szCs w:val="24"/>
          <w:highlight w:val="none"/>
          <w:u w:val="none"/>
        </w:rPr>
        <w:t>投标截止时间：</w:t>
      </w:r>
      <w:r>
        <w:rPr>
          <w:rFonts w:hint="eastAsia" w:ascii="宋体" w:hAnsi="宋体" w:eastAsia="宋体" w:cs="宋体"/>
          <w:bCs/>
          <w:sz w:val="24"/>
          <w:szCs w:val="24"/>
          <w:highlight w:val="none"/>
          <w:u w:val="single"/>
        </w:rPr>
        <w:t>202</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lang w:val="en-US" w:eastAsia="zh-CN"/>
        </w:rPr>
        <w:t>5</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lang w:val="en-US" w:eastAsia="zh-CN"/>
        </w:rPr>
        <w:t>26</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none"/>
          <w:lang w:val="en-US" w:eastAsia="zh-CN"/>
        </w:rPr>
        <w:t>11</w:t>
      </w:r>
      <w:r>
        <w:rPr>
          <w:rFonts w:hint="eastAsia" w:ascii="宋体" w:hAnsi="宋体" w:eastAsia="宋体" w:cs="宋体"/>
          <w:bCs/>
          <w:sz w:val="24"/>
          <w:szCs w:val="24"/>
          <w:highlight w:val="none"/>
          <w:u w:val="none"/>
        </w:rPr>
        <w:t>点00分（北京时间）</w:t>
      </w:r>
    </w:p>
    <w:p w14:paraId="53FDDD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none"/>
        </w:rPr>
      </w:pPr>
      <w:r>
        <w:rPr>
          <w:rFonts w:hint="eastAsia" w:ascii="宋体" w:hAnsi="宋体" w:eastAsia="宋体" w:cs="宋体"/>
          <w:bCs/>
          <w:sz w:val="24"/>
          <w:szCs w:val="24"/>
          <w:highlight w:val="none"/>
          <w:u w:val="none"/>
        </w:rPr>
        <w:t>地点：</w:t>
      </w:r>
      <w:r>
        <w:rPr>
          <w:rFonts w:hint="eastAsia" w:ascii="宋体" w:hAnsi="宋体" w:eastAsia="宋体" w:cs="宋体"/>
          <w:bCs/>
          <w:sz w:val="24"/>
          <w:szCs w:val="24"/>
          <w:highlight w:val="none"/>
          <w:u w:val="none"/>
          <w:lang w:eastAsia="zh-CN"/>
        </w:rPr>
        <w:t>滁州市第二人民医院</w:t>
      </w:r>
      <w:r>
        <w:rPr>
          <w:rFonts w:hint="eastAsia" w:ascii="宋体" w:hAnsi="宋体" w:eastAsia="宋体" w:cs="宋体"/>
          <w:bCs/>
          <w:sz w:val="24"/>
          <w:szCs w:val="24"/>
          <w:highlight w:val="none"/>
          <w:u w:val="none"/>
          <w:lang w:val="en-US" w:eastAsia="zh-CN"/>
        </w:rPr>
        <w:t>至善楼三楼</w:t>
      </w:r>
      <w:r>
        <w:rPr>
          <w:rFonts w:hint="eastAsia" w:ascii="宋体" w:hAnsi="宋体" w:eastAsia="宋体" w:cs="宋体"/>
          <w:bCs/>
          <w:sz w:val="24"/>
          <w:szCs w:val="24"/>
          <w:highlight w:val="none"/>
          <w:u w:val="none"/>
        </w:rPr>
        <w:t>招标</w:t>
      </w:r>
      <w:r>
        <w:rPr>
          <w:rFonts w:hint="eastAsia" w:ascii="宋体" w:hAnsi="宋体" w:eastAsia="宋体" w:cs="宋体"/>
          <w:bCs/>
          <w:sz w:val="24"/>
          <w:szCs w:val="24"/>
          <w:u w:val="none"/>
        </w:rPr>
        <w:t>办</w:t>
      </w:r>
    </w:p>
    <w:p w14:paraId="7BEC5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none"/>
        </w:rPr>
      </w:pPr>
      <w:r>
        <w:rPr>
          <w:rFonts w:hint="eastAsia" w:ascii="宋体" w:hAnsi="宋体" w:eastAsia="宋体" w:cs="宋体"/>
          <w:bCs/>
          <w:sz w:val="24"/>
          <w:szCs w:val="24"/>
          <w:u w:val="none"/>
        </w:rPr>
        <w:t>注：各投标人可以采用直接送达或邮寄的方式，递交时间以直接送达或快递送达的时间为准，逾期不予接收</w:t>
      </w:r>
    </w:p>
    <w:p w14:paraId="53C2896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2" w:name="_Toc7753"/>
      <w:r>
        <w:rPr>
          <w:rFonts w:hint="eastAsia" w:ascii="宋体" w:hAnsi="宋体" w:eastAsia="宋体" w:cs="宋体"/>
          <w:b/>
          <w:bCs/>
          <w:color w:val="auto"/>
          <w:sz w:val="24"/>
          <w:szCs w:val="18"/>
          <w:highlight w:val="none"/>
        </w:rPr>
        <w:t>五、</w:t>
      </w:r>
      <w:bookmarkEnd w:id="11"/>
      <w:r>
        <w:rPr>
          <w:rFonts w:hint="eastAsia" w:ascii="宋体" w:hAnsi="宋体" w:eastAsia="宋体" w:cs="宋体"/>
          <w:b/>
          <w:bCs/>
          <w:color w:val="auto"/>
          <w:sz w:val="24"/>
          <w:szCs w:val="18"/>
          <w:highlight w:val="none"/>
        </w:rPr>
        <w:t>公告期限</w:t>
      </w:r>
      <w:bookmarkEnd w:id="12"/>
    </w:p>
    <w:p w14:paraId="5D04B5B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宋体"/>
          <w:b w:val="0"/>
          <w:bCs w:val="0"/>
          <w:color w:val="auto"/>
          <w:sz w:val="24"/>
          <w:szCs w:val="18"/>
          <w:highlight w:val="none"/>
        </w:rPr>
      </w:pPr>
      <w:bookmarkStart w:id="13" w:name="_Toc1215"/>
      <w:r>
        <w:rPr>
          <w:rFonts w:hint="eastAsia" w:ascii="宋体" w:hAnsi="宋体" w:eastAsia="宋体" w:cs="宋体"/>
          <w:b w:val="0"/>
          <w:bCs w:val="0"/>
          <w:color w:val="auto"/>
          <w:sz w:val="24"/>
          <w:szCs w:val="18"/>
          <w:highlight w:val="none"/>
        </w:rPr>
        <w:t>自本公告发布之日起5个工作日。</w:t>
      </w:r>
    </w:p>
    <w:p w14:paraId="47272842">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cs="宋体"/>
          <w:b/>
          <w:bCs/>
          <w:color w:val="auto"/>
          <w:sz w:val="24"/>
          <w:szCs w:val="18"/>
          <w:highlight w:val="none"/>
        </w:rPr>
      </w:pPr>
      <w:bookmarkStart w:id="14" w:name="_Toc35393626"/>
      <w:bookmarkStart w:id="15" w:name="_Toc31539"/>
      <w:bookmarkStart w:id="16" w:name="_Toc35393795"/>
      <w:r>
        <w:rPr>
          <w:rFonts w:hint="eastAsia" w:ascii="宋体" w:hAnsi="宋体" w:eastAsia="宋体" w:cs="宋体"/>
          <w:b/>
          <w:bCs/>
          <w:color w:val="auto"/>
          <w:sz w:val="24"/>
          <w:szCs w:val="18"/>
          <w:highlight w:val="none"/>
        </w:rPr>
        <w:t>六、其他补充事宜</w:t>
      </w:r>
      <w:bookmarkEnd w:id="14"/>
      <w:bookmarkEnd w:id="15"/>
      <w:bookmarkEnd w:id="16"/>
    </w:p>
    <w:bookmarkEnd w:id="13"/>
    <w:p w14:paraId="1A195815">
      <w:pPr>
        <w:spacing w:line="360" w:lineRule="auto"/>
        <w:ind w:firstLine="437"/>
        <w:outlineLvl w:val="1"/>
        <w:rPr>
          <w:rFonts w:hint="eastAsia" w:ascii="宋体" w:hAnsi="宋体" w:eastAsia="宋体" w:cs="宋体"/>
          <w:color w:val="auto"/>
          <w:sz w:val="24"/>
          <w:szCs w:val="18"/>
          <w:highlight w:val="none"/>
          <w:lang w:val="en-US" w:eastAsia="zh-CN"/>
        </w:rPr>
      </w:pPr>
      <w:bookmarkStart w:id="17" w:name="_Toc7265"/>
      <w:bookmarkStart w:id="18" w:name="_Toc13296"/>
      <w:r>
        <w:rPr>
          <w:rFonts w:hint="eastAsia" w:ascii="宋体" w:hAnsi="宋体" w:eastAsia="宋体" w:cs="宋体"/>
          <w:color w:val="auto"/>
          <w:sz w:val="24"/>
          <w:szCs w:val="18"/>
          <w:highlight w:val="none"/>
          <w:lang w:val="en-US" w:eastAsia="zh-CN"/>
        </w:rPr>
        <w:t>无</w:t>
      </w:r>
    </w:p>
    <w:p w14:paraId="1C715586">
      <w:pPr>
        <w:spacing w:line="360" w:lineRule="auto"/>
        <w:ind w:firstLine="437"/>
        <w:outlineLvl w:val="1"/>
        <w:rPr>
          <w:rFonts w:hint="eastAsia" w:ascii="宋体" w:hAnsi="宋体" w:eastAsia="宋体" w:cs="宋体"/>
          <w:b/>
          <w:bCs/>
          <w:color w:val="auto"/>
          <w:sz w:val="24"/>
          <w:szCs w:val="18"/>
          <w:highlight w:val="none"/>
        </w:rPr>
      </w:pPr>
      <w:r>
        <w:rPr>
          <w:rFonts w:hint="eastAsia" w:ascii="宋体" w:hAnsi="宋体" w:eastAsia="宋体" w:cs="宋体"/>
          <w:b/>
          <w:bCs/>
          <w:color w:val="auto"/>
          <w:sz w:val="24"/>
          <w:szCs w:val="18"/>
          <w:highlight w:val="none"/>
        </w:rPr>
        <w:t>七、</w:t>
      </w:r>
      <w:bookmarkEnd w:id="17"/>
      <w:r>
        <w:rPr>
          <w:rFonts w:hint="eastAsia" w:ascii="宋体" w:hAnsi="宋体" w:eastAsia="宋体" w:cs="宋体"/>
          <w:b/>
          <w:bCs/>
          <w:color w:val="auto"/>
          <w:sz w:val="24"/>
          <w:szCs w:val="18"/>
          <w:highlight w:val="none"/>
        </w:rPr>
        <w:t>对本次招标提出询问，请按以下方式联系</w:t>
      </w:r>
      <w:bookmarkEnd w:id="18"/>
    </w:p>
    <w:p w14:paraId="3E7AA98A">
      <w:pPr>
        <w:spacing w:line="360" w:lineRule="auto"/>
        <w:ind w:firstLine="437"/>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1.采购人</w:t>
      </w:r>
      <w:r>
        <w:rPr>
          <w:rFonts w:hint="eastAsia" w:ascii="宋体" w:hAnsi="宋体" w:eastAsia="宋体" w:cs="宋体"/>
          <w:color w:val="auto"/>
          <w:sz w:val="24"/>
          <w:szCs w:val="18"/>
          <w:highlight w:val="none"/>
          <w:lang w:val="en-US" w:eastAsia="zh-CN"/>
        </w:rPr>
        <w:t>信息</w:t>
      </w:r>
    </w:p>
    <w:p w14:paraId="0CCA4FBF">
      <w:pPr>
        <w:spacing w:line="360" w:lineRule="auto"/>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lang w:eastAsia="zh-CN"/>
        </w:rPr>
        <w:t>滁州市第二人民医院（市传染病医院、市精神病医院）</w:t>
      </w:r>
    </w:p>
    <w:p w14:paraId="72357814">
      <w:pPr>
        <w:spacing w:line="360" w:lineRule="auto"/>
        <w:ind w:firstLine="435"/>
        <w:rPr>
          <w:rFonts w:hint="eastAsia" w:ascii="宋体" w:hAnsi="宋体" w:eastAsia="宋体" w:cs="宋体"/>
          <w:i w:val="0"/>
          <w:iCs w:val="0"/>
          <w:caps w:val="0"/>
          <w:color w:val="333333"/>
          <w:spacing w:val="0"/>
          <w:sz w:val="24"/>
          <w:szCs w:val="24"/>
          <w:u w:val="single"/>
          <w:shd w:val="clear" w:color="auto" w:fill="FFFFFF"/>
          <w:lang w:eastAsia="zh-CN"/>
        </w:rPr>
      </w:pPr>
      <w:r>
        <w:rPr>
          <w:rFonts w:hint="eastAsia" w:ascii="宋体" w:hAnsi="宋体" w:eastAsia="宋体" w:cs="宋体"/>
          <w:color w:val="auto"/>
          <w:sz w:val="24"/>
          <w:szCs w:val="18"/>
          <w:highlight w:val="none"/>
        </w:rPr>
        <w:t>地  址：</w:t>
      </w:r>
      <w:r>
        <w:rPr>
          <w:rFonts w:hint="eastAsia" w:ascii="宋体" w:hAnsi="宋体" w:eastAsia="宋体" w:cs="宋体"/>
          <w:i w:val="0"/>
          <w:iCs w:val="0"/>
          <w:caps w:val="0"/>
          <w:color w:val="333333"/>
          <w:spacing w:val="0"/>
          <w:sz w:val="24"/>
          <w:szCs w:val="24"/>
          <w:u w:val="single"/>
          <w:shd w:val="clear" w:color="auto" w:fill="FFFFFF"/>
          <w:lang w:eastAsia="zh-CN"/>
        </w:rPr>
        <w:t>滁州市清流中路1401号</w:t>
      </w:r>
    </w:p>
    <w:p w14:paraId="1BF948D0">
      <w:pPr>
        <w:spacing w:line="360" w:lineRule="auto"/>
        <w:ind w:firstLine="435"/>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u w:val="single"/>
          <w:shd w:val="clear" w:color="auto" w:fill="FFFFFF"/>
        </w:rPr>
        <w:t>招标办</w:t>
      </w:r>
    </w:p>
    <w:p w14:paraId="636452E9">
      <w:pPr>
        <w:spacing w:line="360" w:lineRule="auto"/>
        <w:ind w:firstLine="435"/>
        <w:rPr>
          <w:rFonts w:hint="eastAsia" w:ascii="宋体" w:hAnsi="宋体" w:eastAsia="宋体" w:cs="宋体"/>
          <w:color w:val="auto"/>
          <w:sz w:val="24"/>
          <w:szCs w:val="18"/>
          <w:highlight w:val="none"/>
          <w:lang w:eastAsia="zh-CN"/>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lang w:eastAsia="zh-CN"/>
        </w:rPr>
        <w:t>0550-3523822</w:t>
      </w:r>
    </w:p>
    <w:p w14:paraId="35F25353">
      <w:pPr>
        <w:spacing w:line="360" w:lineRule="auto"/>
        <w:ind w:firstLine="437"/>
        <w:outlineLvl w:val="2"/>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t>2.采购代理机构</w:t>
      </w:r>
      <w:r>
        <w:rPr>
          <w:rFonts w:hint="eastAsia" w:ascii="宋体" w:hAnsi="宋体" w:eastAsia="宋体" w:cs="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18"/>
          <w:highlight w:val="none"/>
        </w:rPr>
        <w:t>地  址：</w:t>
      </w:r>
      <w:r>
        <w:rPr>
          <w:rFonts w:hint="eastAsia" w:ascii="宋体" w:hAnsi="宋体" w:eastAsia="宋体" w:cs="宋体"/>
          <w:i w:val="0"/>
          <w:iCs w:val="0"/>
          <w:caps w:val="0"/>
          <w:color w:val="333333"/>
          <w:spacing w:val="0"/>
          <w:sz w:val="24"/>
          <w:szCs w:val="24"/>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u w:val="single"/>
          <w:shd w:val="clear" w:color="auto" w:fill="FFFFFF"/>
        </w:rPr>
      </w:pPr>
      <w:r>
        <w:rPr>
          <w:rFonts w:hint="eastAsia" w:ascii="宋体" w:hAnsi="宋体" w:eastAsia="宋体" w:cs="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u w:val="single"/>
          <w:shd w:val="clear" w:color="auto" w:fill="FFFFFF"/>
        </w:rPr>
        <w:t>赵建飞</w:t>
      </w:r>
    </w:p>
    <w:p w14:paraId="2D4B14C3">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i w:val="0"/>
          <w:iCs w:val="0"/>
          <w:caps w:val="0"/>
          <w:color w:val="333333"/>
          <w:spacing w:val="0"/>
          <w:sz w:val="24"/>
          <w:szCs w:val="24"/>
          <w:u w:val="single"/>
          <w:shd w:val="clear" w:color="auto" w:fill="FFFFFF"/>
        </w:rPr>
        <w:t>18755018236</w:t>
      </w:r>
    </w:p>
    <w:p w14:paraId="6EE4448B">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1BA1D574">
      <w:pPr>
        <w:spacing w:line="360" w:lineRule="auto"/>
        <w:jc w:val="center"/>
        <w:outlineLvl w:val="0"/>
        <w:rPr>
          <w:rFonts w:hint="eastAsia" w:ascii="宋体" w:hAnsi="宋体" w:eastAsia="宋体" w:cs="宋体"/>
          <w:b/>
          <w:color w:val="auto"/>
          <w:sz w:val="28"/>
          <w:highlight w:val="none"/>
        </w:rPr>
      </w:pPr>
      <w:bookmarkStart w:id="19" w:name="_Toc8888"/>
      <w:r>
        <w:rPr>
          <w:rFonts w:hint="eastAsia" w:ascii="宋体" w:hAnsi="宋体" w:eastAsia="宋体" w:cs="宋体"/>
          <w:b/>
          <w:color w:val="auto"/>
          <w:sz w:val="28"/>
          <w:highlight w:val="none"/>
        </w:rPr>
        <w:t>第二章  投标人须知</w:t>
      </w:r>
      <w:bookmarkEnd w:id="19"/>
    </w:p>
    <w:p w14:paraId="67922581">
      <w:pPr>
        <w:spacing w:line="360" w:lineRule="auto"/>
        <w:jc w:val="center"/>
        <w:outlineLvl w:val="1"/>
        <w:rPr>
          <w:rFonts w:hint="eastAsia" w:ascii="宋体" w:hAnsi="宋体" w:eastAsia="宋体" w:cs="宋体"/>
          <w:b/>
          <w:color w:val="auto"/>
          <w:sz w:val="24"/>
          <w:highlight w:val="none"/>
        </w:rPr>
      </w:pPr>
      <w:bookmarkStart w:id="20" w:name="_Toc13589"/>
      <w:bookmarkStart w:id="21" w:name="_Toc7178"/>
      <w:r>
        <w:rPr>
          <w:rFonts w:hint="eastAsia" w:ascii="宋体" w:hAnsi="宋体" w:eastAsia="宋体" w:cs="宋体"/>
          <w:b/>
          <w:color w:val="auto"/>
          <w:sz w:val="24"/>
          <w:highlight w:val="none"/>
        </w:rPr>
        <w:t>一、投标人须知前附表</w:t>
      </w:r>
      <w:bookmarkEnd w:id="20"/>
      <w:bookmarkEnd w:id="21"/>
    </w:p>
    <w:p w14:paraId="76440F70">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4"/>
        <w:tblW w:w="52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2376"/>
        <w:gridCol w:w="6925"/>
      </w:tblGrid>
      <w:tr w14:paraId="561E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45279B5F">
            <w:pPr>
              <w:pStyle w:val="41"/>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1134" w:type="pct"/>
            <w:vAlign w:val="center"/>
          </w:tcPr>
          <w:p w14:paraId="4BDE98ED">
            <w:pPr>
              <w:pStyle w:val="41"/>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3306" w:type="pct"/>
            <w:vAlign w:val="center"/>
          </w:tcPr>
          <w:p w14:paraId="1597BD87">
            <w:pPr>
              <w:pStyle w:val="41"/>
              <w:widowControl w:val="0"/>
              <w:spacing w:before="0" w:beforeAutospacing="0" w:after="0" w:afterAutospacing="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75A6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158EE99">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lang w:val="en-US" w:eastAsia="zh-CN"/>
              </w:rPr>
              <w:t>5</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2</w:t>
            </w:r>
          </w:p>
        </w:tc>
        <w:tc>
          <w:tcPr>
            <w:tcW w:w="1134" w:type="pct"/>
            <w:vAlign w:val="center"/>
          </w:tcPr>
          <w:p w14:paraId="621B3C54">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bCs/>
                <w:color w:val="auto"/>
                <w:kern w:val="2"/>
                <w:sz w:val="24"/>
                <w:szCs w:val="22"/>
                <w:highlight w:val="none"/>
                <w:lang w:val="en-US" w:eastAsia="zh-CN" w:bidi="ar-SA"/>
              </w:rPr>
              <w:t>现场考察或标前答疑会</w:t>
            </w:r>
          </w:p>
        </w:tc>
        <w:tc>
          <w:tcPr>
            <w:tcW w:w="3306" w:type="pct"/>
            <w:vAlign w:val="center"/>
          </w:tcPr>
          <w:p w14:paraId="24DA92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val="en-US" w:eastAsia="zh-CN"/>
              </w:rPr>
              <w:t>或不召开</w:t>
            </w:r>
          </w:p>
          <w:p w14:paraId="402C0A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w:t>
            </w:r>
            <w:r>
              <w:rPr>
                <w:rFonts w:hint="eastAsia" w:ascii="宋体" w:hAnsi="宋体" w:eastAsia="宋体" w:cs="宋体"/>
                <w:bCs/>
                <w:color w:val="auto"/>
                <w:sz w:val="24"/>
                <w:highlight w:val="none"/>
                <w:lang w:val="en-US" w:eastAsia="zh-CN"/>
              </w:rPr>
              <w:t>或统一召开</w:t>
            </w:r>
          </w:p>
          <w:p w14:paraId="0F6AD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分</w:t>
            </w:r>
          </w:p>
          <w:p w14:paraId="598810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rPr>
              <w:t xml:space="preserve">                       </w:t>
            </w:r>
          </w:p>
          <w:p w14:paraId="585F15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rPr>
              <w:t xml:space="preserve">           </w:t>
            </w:r>
          </w:p>
          <w:p w14:paraId="28C7B210">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lang w:eastAsia="zh-CN"/>
              </w:rPr>
              <w:t>注：</w:t>
            </w:r>
            <w:r>
              <w:rPr>
                <w:rFonts w:hint="eastAsia" w:ascii="宋体" w:hAnsi="宋体" w:eastAsia="宋体" w:cs="宋体"/>
                <w:bCs w:val="0"/>
                <w:color w:val="auto"/>
                <w:sz w:val="24"/>
                <w:highlight w:val="none"/>
              </w:rPr>
              <w:t>如投标人未参加采购人统一组织的现场考察</w:t>
            </w:r>
            <w:r>
              <w:rPr>
                <w:rFonts w:hint="eastAsia" w:ascii="宋体" w:hAnsi="宋体" w:eastAsia="宋体" w:cs="宋体"/>
                <w:bCs w:val="0"/>
                <w:color w:val="auto"/>
                <w:sz w:val="24"/>
                <w:highlight w:val="none"/>
                <w:lang w:val="en-US" w:eastAsia="zh-CN"/>
              </w:rPr>
              <w:t>或采购人统一召开的标前答疑会</w:t>
            </w:r>
            <w:r>
              <w:rPr>
                <w:rFonts w:hint="eastAsia" w:ascii="宋体" w:hAnsi="宋体" w:eastAsia="宋体" w:cs="宋体"/>
                <w:bCs w:val="0"/>
                <w:color w:val="auto"/>
                <w:sz w:val="24"/>
                <w:highlight w:val="none"/>
              </w:rPr>
              <w:t>，视同放弃现场考察</w:t>
            </w:r>
            <w:r>
              <w:rPr>
                <w:rFonts w:hint="eastAsia" w:ascii="宋体" w:hAnsi="宋体" w:eastAsia="宋体" w:cs="宋体"/>
                <w:bCs w:val="0"/>
                <w:color w:val="auto"/>
                <w:sz w:val="24"/>
                <w:highlight w:val="none"/>
                <w:lang w:val="en-US" w:eastAsia="zh-CN"/>
              </w:rPr>
              <w:t>或标前答疑会</w:t>
            </w:r>
            <w:r>
              <w:rPr>
                <w:rFonts w:hint="eastAsia" w:ascii="宋体" w:hAnsi="宋体" w:eastAsia="宋体" w:cs="宋体"/>
                <w:bCs w:val="0"/>
                <w:color w:val="auto"/>
                <w:sz w:val="24"/>
                <w:highlight w:val="none"/>
              </w:rPr>
              <w:t>，由此引起的一切责任由投标人自行承担。</w:t>
            </w:r>
          </w:p>
        </w:tc>
      </w:tr>
      <w:tr w14:paraId="4D37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F07EF12">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6</w:t>
            </w:r>
            <w:r>
              <w:rPr>
                <w:rFonts w:hint="eastAsia" w:ascii="宋体" w:hAnsi="宋体" w:eastAsia="宋体" w:cs="宋体"/>
                <w:bCs/>
                <w:color w:val="auto"/>
                <w:kern w:val="2"/>
                <w:highlight w:val="none"/>
              </w:rPr>
              <w:t>.1</w:t>
            </w:r>
          </w:p>
        </w:tc>
        <w:tc>
          <w:tcPr>
            <w:tcW w:w="1134" w:type="pct"/>
            <w:vAlign w:val="center"/>
          </w:tcPr>
          <w:p w14:paraId="16EAE52A">
            <w:pPr>
              <w:pStyle w:val="41"/>
              <w:widowControl w:val="0"/>
              <w:spacing w:before="0" w:beforeAutospacing="0" w:after="0" w:afterAutospacing="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3306" w:type="pct"/>
            <w:vAlign w:val="center"/>
          </w:tcPr>
          <w:p w14:paraId="1C4973D1">
            <w:pPr>
              <w:pStyle w:val="41"/>
              <w:widowControl w:val="0"/>
              <w:spacing w:before="0" w:beforeAutospacing="0" w:after="0" w:afterAutospacing="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2025</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lang w:val="en-US" w:eastAsia="zh-CN"/>
              </w:rPr>
              <w:t>5</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lang w:val="en-US" w:eastAsia="zh-CN"/>
              </w:rPr>
              <w:t>22</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lang w:val="en-US" w:eastAsia="zh-CN"/>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lang w:val="en-US" w:eastAsia="zh-CN"/>
              </w:rPr>
              <w:t>00</w:t>
            </w:r>
            <w:r>
              <w:rPr>
                <w:rFonts w:hint="eastAsia" w:ascii="宋体" w:hAnsi="宋体" w:eastAsia="宋体" w:cs="宋体"/>
                <w:b w:val="0"/>
                <w:color w:val="auto"/>
                <w:sz w:val="24"/>
                <w:highlight w:val="none"/>
              </w:rPr>
              <w:t>分</w:t>
            </w:r>
          </w:p>
        </w:tc>
      </w:tr>
      <w:tr w14:paraId="0AF7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289DA1E">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rPr>
              <w:t>.1</w:t>
            </w:r>
          </w:p>
        </w:tc>
        <w:tc>
          <w:tcPr>
            <w:tcW w:w="1134" w:type="pct"/>
            <w:vAlign w:val="center"/>
          </w:tcPr>
          <w:p w14:paraId="36403D50">
            <w:pPr>
              <w:pStyle w:val="41"/>
              <w:widowControl w:val="0"/>
              <w:spacing w:before="0" w:beforeAutospacing="0" w:after="0" w:afterAutospacing="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3306" w:type="pct"/>
            <w:vAlign w:val="center"/>
          </w:tcPr>
          <w:p w14:paraId="28079EE9">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 xml:space="preserve">不分包     </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分为  个包</w:t>
            </w:r>
          </w:p>
          <w:p w14:paraId="3275D89F">
            <w:pPr>
              <w:pStyle w:val="41"/>
              <w:widowControl w:val="0"/>
              <w:spacing w:before="0" w:beforeAutospacing="0" w:after="0" w:afterAutospacing="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bCs w:val="0"/>
                <w:color w:val="auto"/>
                <w:sz w:val="24"/>
                <w:szCs w:val="18"/>
                <w:highlight w:val="none"/>
                <w:u w:val="single"/>
              </w:rPr>
              <w:t xml:space="preserve">        </w:t>
            </w:r>
          </w:p>
        </w:tc>
      </w:tr>
      <w:tr w14:paraId="2B2C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59" w:type="pct"/>
            <w:vAlign w:val="center"/>
          </w:tcPr>
          <w:p w14:paraId="45D0E10A">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1134" w:type="pct"/>
            <w:vAlign w:val="center"/>
          </w:tcPr>
          <w:p w14:paraId="2017BB34">
            <w:pPr>
              <w:pStyle w:val="41"/>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3306" w:type="pct"/>
            <w:vAlign w:val="center"/>
          </w:tcPr>
          <w:p w14:paraId="6588D2CD">
            <w:pPr>
              <w:spacing w:line="360" w:lineRule="auto"/>
              <w:rPr>
                <w:rFonts w:hint="eastAsia" w:ascii="宋体" w:hAnsi="宋体" w:eastAsia="宋体" w:cs="宋体"/>
                <w:color w:val="auto"/>
                <w:highlight w:val="none"/>
              </w:rPr>
            </w:pPr>
            <w:r>
              <w:rPr>
                <w:rFonts w:hint="eastAsia" w:ascii="宋体" w:hAnsi="宋体" w:eastAsia="宋体" w:cs="宋体"/>
                <w:bCs/>
                <w:color w:val="auto"/>
                <w:kern w:val="0"/>
                <w:sz w:val="24"/>
                <w:szCs w:val="28"/>
                <w:highlight w:val="none"/>
              </w:rPr>
              <w:t>不收取</w:t>
            </w:r>
          </w:p>
        </w:tc>
      </w:tr>
      <w:tr w14:paraId="16ED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6A83AF04">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34" w:type="pct"/>
            <w:vAlign w:val="center"/>
          </w:tcPr>
          <w:p w14:paraId="7FE837FD">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3306" w:type="pct"/>
            <w:vAlign w:val="center"/>
          </w:tcPr>
          <w:p w14:paraId="4206C4BA">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60</w:t>
            </w:r>
            <w:r>
              <w:rPr>
                <w:rFonts w:hint="eastAsia" w:ascii="宋体" w:hAnsi="宋体" w:eastAsia="宋体" w:cs="宋体"/>
                <w:b w:val="0"/>
                <w:color w:val="auto"/>
                <w:sz w:val="24"/>
                <w:highlight w:val="none"/>
              </w:rPr>
              <w:t>日历日</w:t>
            </w:r>
          </w:p>
        </w:tc>
      </w:tr>
      <w:tr w14:paraId="531A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59330160">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34" w:type="pct"/>
            <w:vAlign w:val="center"/>
          </w:tcPr>
          <w:p w14:paraId="36DD4BFF">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3306" w:type="pct"/>
            <w:vAlign w:val="center"/>
          </w:tcPr>
          <w:p w14:paraId="0DE4BC74">
            <w:pPr>
              <w:pStyle w:val="41"/>
              <w:widowControl w:val="0"/>
              <w:spacing w:before="0" w:beforeAutospacing="0" w:after="0" w:afterAutospacing="0"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采购人审查</w:t>
            </w:r>
          </w:p>
          <w:p w14:paraId="28FBF05A">
            <w:pPr>
              <w:pStyle w:val="41"/>
              <w:widowControl w:val="0"/>
              <w:spacing w:before="0" w:beforeAutospacing="0" w:after="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采购人出具委托函委托采购代理机构进行审查</w:t>
            </w:r>
          </w:p>
        </w:tc>
      </w:tr>
      <w:tr w14:paraId="10B0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327AED45">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.2</w:t>
            </w:r>
          </w:p>
        </w:tc>
        <w:tc>
          <w:tcPr>
            <w:tcW w:w="1134" w:type="pct"/>
            <w:vAlign w:val="center"/>
          </w:tcPr>
          <w:p w14:paraId="0447AB8F">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3306" w:type="pct"/>
            <w:vAlign w:val="center"/>
          </w:tcPr>
          <w:p w14:paraId="65BA9906">
            <w:pPr>
              <w:pStyle w:val="41"/>
              <w:widowControl w:val="0"/>
              <w:spacing w:before="0" w:beforeAutospacing="0" w:after="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u w:val="none"/>
              </w:rPr>
              <w:t>最低评标价法</w:t>
            </w:r>
          </w:p>
          <w:p w14:paraId="31CAF6E8">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u w:val="none"/>
              </w:rPr>
              <w:t>综合评分法</w:t>
            </w:r>
          </w:p>
        </w:tc>
      </w:tr>
      <w:tr w14:paraId="7400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790D7113">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34" w:type="pct"/>
            <w:vAlign w:val="center"/>
          </w:tcPr>
          <w:p w14:paraId="1E2D4957">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3306" w:type="pct"/>
            <w:vAlign w:val="center"/>
          </w:tcPr>
          <w:p w14:paraId="23ADC07C">
            <w:pPr>
              <w:pStyle w:val="41"/>
              <w:widowControl w:val="0"/>
              <w:spacing w:before="0" w:beforeAutospacing="0" w:after="0" w:afterAutospacing="0" w:line="360" w:lineRule="auto"/>
              <w:jc w:val="both"/>
              <w:rPr>
                <w:rFonts w:hint="eastAsia" w:ascii="宋体" w:hAnsi="宋体" w:eastAsia="宋体" w:cs="宋体"/>
                <w:b w:val="0"/>
                <w:color w:val="auto"/>
                <w:sz w:val="24"/>
                <w:highlight w:val="none"/>
                <w:u w:val="single"/>
                <w:lang w:val="en-US"/>
              </w:rPr>
            </w:pPr>
            <w:r>
              <w:rPr>
                <w:rFonts w:hint="eastAsia" w:ascii="宋体" w:hAnsi="宋体" w:eastAsia="宋体" w:cs="宋体"/>
                <w:b w:val="0"/>
                <w:color w:val="auto"/>
                <w:sz w:val="24"/>
                <w:highlight w:val="none"/>
                <w:u w:val="single"/>
                <w:lang w:val="en-US" w:eastAsia="zh-CN"/>
              </w:rPr>
              <w:t>3家</w:t>
            </w:r>
          </w:p>
        </w:tc>
      </w:tr>
      <w:tr w14:paraId="7CD4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4F108C47">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.2</w:t>
            </w:r>
          </w:p>
        </w:tc>
        <w:tc>
          <w:tcPr>
            <w:tcW w:w="1134" w:type="pct"/>
            <w:vAlign w:val="center"/>
          </w:tcPr>
          <w:p w14:paraId="1B9140EC">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3306" w:type="pct"/>
            <w:vAlign w:val="center"/>
          </w:tcPr>
          <w:p w14:paraId="4D1AD03F">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采购人委托评标委员会确定</w:t>
            </w:r>
          </w:p>
          <w:p w14:paraId="2D9F574F">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2"/>
                <w:sz w:val="24"/>
                <w:szCs w:val="24"/>
                <w:highlight w:val="none"/>
              </w:rPr>
              <w:t>□采购人确定</w:t>
            </w:r>
          </w:p>
        </w:tc>
      </w:tr>
      <w:tr w14:paraId="7D27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0EB9891C">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.3</w:t>
            </w:r>
          </w:p>
        </w:tc>
        <w:tc>
          <w:tcPr>
            <w:tcW w:w="1134" w:type="pct"/>
            <w:vAlign w:val="center"/>
          </w:tcPr>
          <w:p w14:paraId="784BE4BC">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w:t>
            </w:r>
            <w:r>
              <w:rPr>
                <w:rFonts w:hint="eastAsia" w:ascii="宋体" w:hAnsi="宋体" w:eastAsia="宋体" w:cs="宋体"/>
                <w:b w:val="0"/>
                <w:color w:val="auto"/>
                <w:sz w:val="24"/>
                <w:highlight w:val="none"/>
                <w:lang w:val="en-US" w:eastAsia="zh-CN"/>
              </w:rPr>
              <w:t>公告</w:t>
            </w:r>
            <w:r>
              <w:rPr>
                <w:rFonts w:hint="eastAsia" w:ascii="宋体" w:hAnsi="宋体" w:eastAsia="宋体" w:cs="宋体"/>
                <w:b w:val="0"/>
                <w:color w:val="auto"/>
                <w:sz w:val="24"/>
                <w:highlight w:val="none"/>
              </w:rPr>
              <w:t>的内容</w:t>
            </w:r>
          </w:p>
        </w:tc>
        <w:tc>
          <w:tcPr>
            <w:tcW w:w="3306" w:type="pct"/>
            <w:vAlign w:val="center"/>
          </w:tcPr>
          <w:p w14:paraId="3E110716">
            <w:pPr>
              <w:pStyle w:val="41"/>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 xml:space="preserve">（1）中小企业声明函；（如有） </w:t>
            </w:r>
          </w:p>
          <w:p w14:paraId="7723D0A8">
            <w:pPr>
              <w:pStyle w:val="41"/>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 xml:space="preserve">（2）残疾人福利性单位声明函；（如有） </w:t>
            </w:r>
          </w:p>
          <w:p w14:paraId="17A541D4">
            <w:pPr>
              <w:pStyle w:val="41"/>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 xml:space="preserve">（3）中标（成交）供应商的评审总得分（适用综合 </w:t>
            </w:r>
          </w:p>
          <w:p w14:paraId="729BB108">
            <w:pPr>
              <w:pStyle w:val="41"/>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 xml:space="preserve">评分法） </w:t>
            </w:r>
          </w:p>
          <w:p w14:paraId="33F9A888">
            <w:pPr>
              <w:pStyle w:val="41"/>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 xml:space="preserve">（4）投标人业绩；（如有） </w:t>
            </w:r>
          </w:p>
          <w:p w14:paraId="03D2E044">
            <w:pPr>
              <w:pStyle w:val="41"/>
              <w:widowControl w:val="0"/>
              <w:spacing w:before="0" w:beforeAutospacing="0" w:after="0" w:afterAutospacing="0"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highlight w:val="none"/>
                <w:u w:val="none"/>
              </w:rPr>
              <w:t xml:space="preserve">（5）招标文件中规定进行公示的其他内容； </w:t>
            </w:r>
          </w:p>
        </w:tc>
      </w:tr>
      <w:tr w14:paraId="3DF2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7F3DCE4A">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34" w:type="pct"/>
            <w:vAlign w:val="center"/>
          </w:tcPr>
          <w:p w14:paraId="2EB7C56E">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3306" w:type="pct"/>
            <w:vAlign w:val="center"/>
          </w:tcPr>
          <w:p w14:paraId="0847A7B5">
            <w:pPr>
              <w:pStyle w:val="41"/>
              <w:widowControl w:val="0"/>
              <w:spacing w:before="0" w:beforeAutospacing="0" w:after="0" w:afterAutospacing="0"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A8"/>
            </w:r>
            <w:r>
              <w:rPr>
                <w:rFonts w:hint="eastAsia" w:ascii="宋体" w:hAnsi="宋体" w:eastAsia="宋体" w:cs="宋体"/>
                <w:b w:val="0"/>
                <w:bCs w:val="0"/>
                <w:color w:val="auto"/>
                <w:sz w:val="24"/>
                <w:szCs w:val="24"/>
                <w:highlight w:val="none"/>
              </w:rPr>
              <w:t>数据电文</w:t>
            </w:r>
          </w:p>
        </w:tc>
      </w:tr>
      <w:tr w14:paraId="4FBF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73752355">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25</w:t>
            </w:r>
            <w:r>
              <w:rPr>
                <w:rFonts w:hint="eastAsia" w:ascii="宋体" w:hAnsi="宋体" w:eastAsia="宋体" w:cs="宋体"/>
                <w:bCs/>
                <w:color w:val="auto"/>
                <w:kern w:val="2"/>
                <w:highlight w:val="none"/>
              </w:rPr>
              <w:t>.1</w:t>
            </w:r>
          </w:p>
        </w:tc>
        <w:tc>
          <w:tcPr>
            <w:tcW w:w="1134" w:type="pct"/>
            <w:vAlign w:val="center"/>
          </w:tcPr>
          <w:p w14:paraId="5372A5AC">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3306" w:type="pct"/>
            <w:vAlign w:val="center"/>
          </w:tcPr>
          <w:p w14:paraId="7222A252">
            <w:pPr>
              <w:pStyle w:val="41"/>
              <w:widowControl w:val="0"/>
              <w:spacing w:before="0" w:beforeAutospacing="0" w:after="0" w:afterAutospacing="0" w:line="360" w:lineRule="auto"/>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0"/>
                <w:sz w:val="24"/>
                <w:szCs w:val="24"/>
                <w:highlight w:val="none"/>
              </w:rPr>
              <w:t>投标人自行在</w:t>
            </w:r>
            <w:r>
              <w:rPr>
                <w:rFonts w:hint="eastAsia" w:ascii="宋体" w:hAnsi="宋体" w:eastAsia="宋体" w:cs="宋体"/>
                <w:b w:val="0"/>
                <w:bCs w:val="0"/>
                <w:color w:val="auto"/>
                <w:kern w:val="0"/>
                <w:sz w:val="24"/>
                <w:szCs w:val="24"/>
                <w:highlight w:val="none"/>
                <w:lang w:eastAsia="zh-CN"/>
              </w:rPr>
              <w:t>滁州市第二人民医院</w:t>
            </w:r>
            <w:r>
              <w:rPr>
                <w:rFonts w:hint="eastAsia" w:ascii="宋体" w:hAnsi="宋体" w:eastAsia="宋体" w:cs="宋体"/>
                <w:b w:val="0"/>
                <w:bCs w:val="0"/>
                <w:color w:val="auto"/>
                <w:kern w:val="0"/>
                <w:sz w:val="24"/>
                <w:szCs w:val="24"/>
                <w:highlight w:val="none"/>
              </w:rPr>
              <w:t>官网查看</w:t>
            </w:r>
          </w:p>
        </w:tc>
      </w:tr>
      <w:tr w14:paraId="2D0E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trPr>
        <w:tc>
          <w:tcPr>
            <w:tcW w:w="559" w:type="pct"/>
            <w:vAlign w:val="center"/>
          </w:tcPr>
          <w:p w14:paraId="54F9813F">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26</w:t>
            </w:r>
            <w:r>
              <w:rPr>
                <w:rFonts w:hint="eastAsia" w:ascii="宋体" w:hAnsi="宋体" w:eastAsia="宋体" w:cs="宋体"/>
                <w:bCs/>
                <w:color w:val="auto"/>
                <w:kern w:val="2"/>
                <w:highlight w:val="none"/>
              </w:rPr>
              <w:t>.1</w:t>
            </w:r>
          </w:p>
        </w:tc>
        <w:tc>
          <w:tcPr>
            <w:tcW w:w="1134" w:type="pct"/>
            <w:vAlign w:val="center"/>
          </w:tcPr>
          <w:p w14:paraId="0A8C3808">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3306" w:type="pct"/>
          </w:tcPr>
          <w:p w14:paraId="3F319065">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018A6590">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免收</w:t>
            </w:r>
          </w:p>
          <w:p w14:paraId="2F152312">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w:t>
            </w:r>
          </w:p>
          <w:p w14:paraId="77F3855C">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元</w:t>
            </w:r>
          </w:p>
          <w:p w14:paraId="73B7B305">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6700B13E">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bCs/>
                <w:color w:val="auto"/>
                <w:kern w:val="0"/>
                <w:sz w:val="24"/>
                <w:szCs w:val="28"/>
                <w:highlight w:val="none"/>
              </w:rPr>
              <w:t>保函</w:t>
            </w:r>
          </w:p>
          <w:p w14:paraId="6CC100A9">
            <w:pPr>
              <w:numPr>
                <w:ilvl w:val="0"/>
                <w:numId w:val="0"/>
              </w:num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3</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收取单位：</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 xml:space="preserve">              </w:t>
            </w:r>
          </w:p>
          <w:p w14:paraId="2F3EC6D0">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val="en-US" w:eastAsia="zh-CN"/>
              </w:rPr>
              <w:t>（4）收取账号：</w:t>
            </w:r>
            <w:r>
              <w:rPr>
                <w:rFonts w:hint="eastAsia" w:ascii="宋体" w:hAnsi="宋体" w:eastAsia="宋体" w:cs="宋体"/>
                <w:bCs/>
                <w:color w:val="auto"/>
                <w:kern w:val="0"/>
                <w:sz w:val="24"/>
                <w:szCs w:val="28"/>
                <w:highlight w:val="none"/>
                <w:u w:val="single"/>
              </w:rPr>
              <w:t xml:space="preserve">              </w:t>
            </w:r>
          </w:p>
          <w:p w14:paraId="63D3F0E2">
            <w:pPr>
              <w:spacing w:line="360" w:lineRule="auto"/>
              <w:rPr>
                <w:rFonts w:hint="eastAsia" w:ascii="宋体" w:hAnsi="宋体" w:eastAsia="宋体" w:cs="宋体"/>
                <w:color w:val="auto"/>
                <w:sz w:val="24"/>
                <w:highlight w:val="none"/>
              </w:rPr>
            </w:pPr>
            <w:r>
              <w:rPr>
                <w:rFonts w:hint="eastAsia" w:ascii="宋体" w:hAnsi="宋体" w:eastAsia="宋体" w:cs="宋体"/>
                <w:bCs/>
                <w:color w:val="auto"/>
                <w:kern w:val="0"/>
                <w:sz w:val="24"/>
                <w:szCs w:val="28"/>
                <w:highlight w:val="none"/>
              </w:rPr>
              <w:t>（</w:t>
            </w:r>
            <w:r>
              <w:rPr>
                <w:rFonts w:hint="eastAsia" w:ascii="宋体" w:hAnsi="宋体" w:eastAsia="宋体" w:cs="宋体"/>
                <w:bCs/>
                <w:color w:val="auto"/>
                <w:kern w:val="0"/>
                <w:sz w:val="24"/>
                <w:szCs w:val="28"/>
                <w:highlight w:val="none"/>
                <w:lang w:val="en-US" w:eastAsia="zh-CN"/>
              </w:rPr>
              <w:t>5</w:t>
            </w:r>
            <w:r>
              <w:rPr>
                <w:rFonts w:hint="eastAsia" w:ascii="宋体" w:hAnsi="宋体" w:eastAsia="宋体" w:cs="宋体"/>
                <w:bCs/>
                <w:color w:val="auto"/>
                <w:kern w:val="0"/>
                <w:sz w:val="24"/>
                <w:szCs w:val="28"/>
                <w:highlight w:val="none"/>
              </w:rPr>
              <w:t>）</w:t>
            </w:r>
            <w:r>
              <w:rPr>
                <w:rFonts w:hint="eastAsia" w:ascii="宋体" w:hAnsi="宋体" w:eastAsia="宋体" w:cs="宋体"/>
                <w:color w:val="auto"/>
                <w:sz w:val="24"/>
                <w:highlight w:val="none"/>
              </w:rPr>
              <w:t>退还时间：</w:t>
            </w:r>
            <w:r>
              <w:rPr>
                <w:rFonts w:hint="eastAsia" w:ascii="宋体" w:hAnsi="宋体" w:eastAsia="宋体" w:cs="宋体"/>
                <w:bCs/>
                <w:color w:val="auto"/>
                <w:kern w:val="0"/>
                <w:sz w:val="24"/>
                <w:szCs w:val="28"/>
                <w:highlight w:val="none"/>
                <w:u w:val="single"/>
              </w:rPr>
              <w:t xml:space="preserve">              </w:t>
            </w:r>
          </w:p>
          <w:p w14:paraId="740E23AF">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34D56225">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1E0E062C">
            <w:pPr>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4CA3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559" w:type="pct"/>
            <w:vAlign w:val="center"/>
          </w:tcPr>
          <w:p w14:paraId="5EEBF92A">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27</w:t>
            </w:r>
            <w:r>
              <w:rPr>
                <w:rFonts w:hint="eastAsia" w:ascii="宋体" w:hAnsi="宋体" w:eastAsia="宋体" w:cs="宋体"/>
                <w:bCs/>
                <w:color w:val="auto"/>
                <w:kern w:val="2"/>
                <w:highlight w:val="none"/>
              </w:rPr>
              <w:t>.1</w:t>
            </w:r>
          </w:p>
        </w:tc>
        <w:tc>
          <w:tcPr>
            <w:tcW w:w="1134" w:type="pct"/>
            <w:vAlign w:val="center"/>
          </w:tcPr>
          <w:p w14:paraId="19578DE0">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签订合同</w:t>
            </w:r>
          </w:p>
        </w:tc>
        <w:tc>
          <w:tcPr>
            <w:tcW w:w="3306" w:type="pct"/>
          </w:tcPr>
          <w:p w14:paraId="5542B1B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（1）采购人与中标人应当自发出中标通知书之日起7个工作日内签订合同。</w:t>
            </w:r>
          </w:p>
          <w:p w14:paraId="7558F51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kern w:val="0"/>
                <w:sz w:val="24"/>
                <w:szCs w:val="24"/>
                <w:highlight w:val="none"/>
                <w:lang w:val="en-US"/>
              </w:rPr>
            </w:pPr>
            <w:r>
              <w:rPr>
                <w:rFonts w:hint="eastAsia" w:ascii="宋体" w:hAnsi="宋体" w:eastAsia="宋体" w:cs="宋体"/>
                <w:sz w:val="24"/>
                <w:szCs w:val="24"/>
              </w:rPr>
              <w:t>（2）采购人与中标人不得擅自变更合同。</w:t>
            </w:r>
          </w:p>
        </w:tc>
      </w:tr>
      <w:tr w14:paraId="7925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0BAF4364">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28</w:t>
            </w:r>
            <w:r>
              <w:rPr>
                <w:rFonts w:hint="eastAsia" w:ascii="宋体" w:hAnsi="宋体" w:eastAsia="宋体" w:cs="宋体"/>
                <w:bCs/>
                <w:color w:val="auto"/>
                <w:kern w:val="2"/>
                <w:highlight w:val="none"/>
              </w:rPr>
              <w:t>.1</w:t>
            </w:r>
          </w:p>
        </w:tc>
        <w:tc>
          <w:tcPr>
            <w:tcW w:w="1134" w:type="pct"/>
            <w:vAlign w:val="center"/>
          </w:tcPr>
          <w:p w14:paraId="690ABA2E">
            <w:pPr>
              <w:pStyle w:val="41"/>
              <w:widowControl w:val="0"/>
              <w:spacing w:before="0" w:beforeAutospacing="0" w:after="0" w:afterAutospacing="0" w:line="360" w:lineRule="auto"/>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代理费用</w:t>
            </w:r>
          </w:p>
        </w:tc>
        <w:tc>
          <w:tcPr>
            <w:tcW w:w="3306" w:type="pct"/>
            <w:vAlign w:val="center"/>
          </w:tcPr>
          <w:p w14:paraId="24E99DFC">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cs="宋体"/>
                <w:sz w:val="24"/>
                <w:szCs w:val="24"/>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spacing w:val="-12"/>
                <w:sz w:val="24"/>
                <w:szCs w:val="24"/>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spacing w:val="14"/>
                <w:sz w:val="24"/>
                <w:szCs w:val="24"/>
              </w:rPr>
              <w:t>中标人</w:t>
            </w:r>
          </w:p>
          <w:p w14:paraId="5F3AB0D9">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现金或转账</w:t>
            </w:r>
          </w:p>
          <w:p w14:paraId="6A952B05">
            <w:pPr>
              <w:pStyle w:val="4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val="0"/>
                <w:color w:val="auto"/>
                <w:sz w:val="24"/>
                <w:highlight w:val="yellow"/>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none"/>
                <w:lang w:val="en-US" w:eastAsia="zh-CN" w:bidi="ar-SA"/>
              </w:rPr>
              <w:t>收费标准：</w:t>
            </w:r>
            <w:r>
              <w:rPr>
                <w:rFonts w:hint="eastAsia" w:ascii="宋体" w:hAnsi="宋体" w:eastAsia="宋体" w:cs="宋体"/>
                <w:sz w:val="24"/>
                <w:szCs w:val="24"/>
                <w:u w:val="single" w:color="auto"/>
                <w:lang w:val="en-US" w:eastAsia="zh-CN"/>
              </w:rPr>
              <w:t>3000</w:t>
            </w:r>
            <w:r>
              <w:rPr>
                <w:rFonts w:hint="eastAsia" w:ascii="宋体" w:hAnsi="宋体" w:eastAsia="宋体" w:cs="宋体"/>
                <w:sz w:val="24"/>
                <w:szCs w:val="24"/>
                <w:u w:val="single" w:color="auto"/>
              </w:rPr>
              <w:t xml:space="preserve">元（评审费另计，以实际发生为准） </w:t>
            </w:r>
          </w:p>
        </w:tc>
      </w:tr>
      <w:tr w14:paraId="520D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483C6103">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3</w:t>
            </w:r>
          </w:p>
        </w:tc>
        <w:tc>
          <w:tcPr>
            <w:tcW w:w="1134" w:type="pct"/>
            <w:vAlign w:val="center"/>
          </w:tcPr>
          <w:p w14:paraId="43941424">
            <w:pPr>
              <w:pStyle w:val="41"/>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3306" w:type="pct"/>
            <w:vAlign w:val="center"/>
          </w:tcPr>
          <w:p w14:paraId="6E9124E2">
            <w:pPr>
              <w:keepNext w:val="0"/>
              <w:keepLines w:val="0"/>
              <w:widowControl/>
              <w:suppressLineNumbers w:val="0"/>
              <w:jc w:val="left"/>
              <w:rPr>
                <w:rFonts w:hint="eastAsia" w:ascii="宋体" w:hAnsi="宋体" w:eastAsia="宋体" w:cs="宋体"/>
                <w:b w:val="0"/>
                <w:bCs w:val="0"/>
                <w:u w:val="single"/>
              </w:rPr>
            </w:pPr>
            <w:r>
              <w:rPr>
                <w:rFonts w:hint="eastAsia" w:ascii="宋体" w:hAnsi="宋体" w:eastAsia="宋体" w:cs="宋体"/>
                <w:b w:val="0"/>
                <w:color w:val="auto"/>
                <w:sz w:val="24"/>
                <w:highlight w:val="none"/>
              </w:rPr>
              <w:t>递交方式：</w:t>
            </w:r>
            <w:r>
              <w:rPr>
                <w:rFonts w:hint="eastAsia" w:ascii="宋体" w:hAnsi="宋体" w:eastAsia="宋体" w:cs="宋体"/>
                <w:b w:val="0"/>
                <w:bCs w:val="0"/>
                <w:color w:val="000000"/>
                <w:kern w:val="0"/>
                <w:sz w:val="24"/>
                <w:szCs w:val="24"/>
                <w:u w:val="single"/>
                <w:lang w:val="en-US" w:eastAsia="zh-CN"/>
              </w:rPr>
              <w:t>投标人通过书面形式提出，一份质疑函只能针对一个项目提出质疑，且针对同一采购程序环节的质疑应当一次性提出。</w:t>
            </w:r>
          </w:p>
          <w:p w14:paraId="77B5D37F">
            <w:pPr>
              <w:pStyle w:val="41"/>
              <w:widowControl w:val="0"/>
              <w:spacing w:before="0" w:beforeAutospacing="0" w:after="0" w:afterAutospacing="0" w:line="360" w:lineRule="auto"/>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接收部门：</w:t>
            </w:r>
            <w:r>
              <w:rPr>
                <w:rFonts w:hint="eastAsia" w:ascii="宋体" w:hAnsi="宋体" w:eastAsia="宋体" w:cs="宋体"/>
                <w:b w:val="0"/>
                <w:color w:val="auto"/>
                <w:sz w:val="24"/>
                <w:highlight w:val="none"/>
                <w:u w:val="single"/>
                <w:lang w:val="en-US" w:eastAsia="zh-CN"/>
              </w:rPr>
              <w:t>滁州市第二人民医院或江苏川页工程项目管理有限公司</w:t>
            </w:r>
          </w:p>
          <w:p w14:paraId="34D13ACD">
            <w:pPr>
              <w:pStyle w:val="41"/>
              <w:widowControl w:val="0"/>
              <w:spacing w:before="0" w:beforeAutospacing="0" w:after="0" w:afterAutospacing="0" w:line="360" w:lineRule="auto"/>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联系电话：</w:t>
            </w:r>
            <w:r>
              <w:rPr>
                <w:rFonts w:hint="eastAsia" w:ascii="宋体" w:hAnsi="宋体" w:eastAsia="宋体" w:cs="宋体"/>
                <w:b w:val="0"/>
                <w:color w:val="auto"/>
                <w:sz w:val="24"/>
                <w:highlight w:val="none"/>
                <w:u w:val="single"/>
                <w:lang w:val="en-US" w:eastAsia="zh-CN"/>
              </w:rPr>
              <w:t>0550-3523822或18755018236</w:t>
            </w:r>
          </w:p>
          <w:p w14:paraId="6208E06B">
            <w:pPr>
              <w:pStyle w:val="41"/>
              <w:widowControl w:val="0"/>
              <w:spacing w:before="0" w:beforeAutospacing="0" w:after="0" w:afterAutospacing="0" w:line="360" w:lineRule="auto"/>
              <w:jc w:val="both"/>
              <w:rPr>
                <w:rFonts w:hint="eastAsia"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rPr>
              <w:t>通讯地址：</w:t>
            </w:r>
            <w:r>
              <w:rPr>
                <w:rFonts w:hint="eastAsia" w:ascii="宋体" w:hAnsi="宋体" w:eastAsia="宋体" w:cs="宋体"/>
                <w:b w:val="0"/>
                <w:color w:val="auto"/>
                <w:sz w:val="24"/>
                <w:highlight w:val="none"/>
                <w:u w:val="single"/>
                <w:lang w:val="en-US" w:eastAsia="zh-CN"/>
              </w:rPr>
              <w:t>滁州市清流中路1401号或滁州市世贸大厦A座18楼1818室</w:t>
            </w:r>
          </w:p>
        </w:tc>
      </w:tr>
      <w:tr w14:paraId="3464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34A40B74">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32</w:t>
            </w:r>
          </w:p>
        </w:tc>
        <w:tc>
          <w:tcPr>
            <w:tcW w:w="1134" w:type="pct"/>
            <w:vAlign w:val="center"/>
          </w:tcPr>
          <w:p w14:paraId="69BF51F5">
            <w:pPr>
              <w:pStyle w:val="41"/>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其他内容</w:t>
            </w:r>
          </w:p>
        </w:tc>
        <w:tc>
          <w:tcPr>
            <w:tcW w:w="3306" w:type="pct"/>
            <w:vAlign w:val="center"/>
          </w:tcPr>
          <w:p w14:paraId="07039EF0">
            <w:pPr>
              <w:pStyle w:val="41"/>
              <w:widowControl w:val="0"/>
              <w:numPr>
                <w:ilvl w:val="0"/>
                <w:numId w:val="0"/>
              </w:numPr>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1、解释权：</w:t>
            </w:r>
          </w:p>
          <w:p w14:paraId="2DEE861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02D9284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3551932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3F86AC0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4AE12E89">
            <w:pPr>
              <w:pStyle w:val="4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tc>
      </w:tr>
      <w:tr w14:paraId="1FFB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168A052E">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
                <w:bCs w:val="0"/>
                <w:color w:val="auto"/>
                <w:kern w:val="2"/>
                <w:highlight w:val="none"/>
                <w:lang w:val="en-US" w:eastAsia="zh-CN"/>
              </w:rPr>
              <w:t>33</w:t>
            </w:r>
          </w:p>
        </w:tc>
        <w:tc>
          <w:tcPr>
            <w:tcW w:w="1134" w:type="pct"/>
            <w:vAlign w:val="center"/>
          </w:tcPr>
          <w:p w14:paraId="5FA9CDA7">
            <w:pPr>
              <w:pStyle w:val="41"/>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bCs w:val="0"/>
                <w:color w:val="auto"/>
                <w:sz w:val="24"/>
                <w:highlight w:val="none"/>
                <w:lang w:val="en-US" w:eastAsia="zh-CN"/>
              </w:rPr>
              <w:t>投标文件数量</w:t>
            </w:r>
          </w:p>
        </w:tc>
        <w:tc>
          <w:tcPr>
            <w:tcW w:w="3306" w:type="pct"/>
            <w:vAlign w:val="center"/>
          </w:tcPr>
          <w:p w14:paraId="201D7135">
            <w:pPr>
              <w:pStyle w:val="41"/>
              <w:widowControl w:val="0"/>
              <w:numPr>
                <w:ilvl w:val="0"/>
                <w:numId w:val="0"/>
              </w:numPr>
              <w:spacing w:before="0" w:beforeAutospacing="0" w:after="0" w:afterAutospacing="0" w:line="360" w:lineRule="auto"/>
              <w:jc w:val="both"/>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正本</w:t>
            </w:r>
            <w:r>
              <w:rPr>
                <w:rFonts w:hint="eastAsia" w:ascii="宋体" w:hAnsi="宋体" w:eastAsia="宋体" w:cs="宋体"/>
                <w:b/>
                <w:bCs w:val="0"/>
                <w:color w:val="auto"/>
                <w:sz w:val="24"/>
                <w:szCs w:val="24"/>
                <w:highlight w:val="none"/>
                <w:u w:val="single"/>
              </w:rPr>
              <w:t xml:space="preserve"> 1 </w:t>
            </w:r>
            <w:r>
              <w:rPr>
                <w:rFonts w:hint="eastAsia" w:ascii="宋体" w:hAnsi="宋体" w:eastAsia="宋体" w:cs="宋体"/>
                <w:b/>
                <w:bCs w:val="0"/>
                <w:color w:val="auto"/>
                <w:sz w:val="24"/>
                <w:szCs w:val="24"/>
                <w:highlight w:val="none"/>
              </w:rPr>
              <w:t>份，副本</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u w:val="single"/>
                <w:lang w:val="en-US" w:eastAsia="zh-CN"/>
              </w:rPr>
              <w:t>2</w:t>
            </w:r>
            <w:r>
              <w:rPr>
                <w:rFonts w:hint="eastAsia" w:ascii="宋体" w:hAnsi="宋体" w:eastAsia="宋体" w:cs="宋体"/>
                <w:b/>
                <w:bCs w:val="0"/>
                <w:color w:val="auto"/>
                <w:sz w:val="24"/>
                <w:szCs w:val="24"/>
                <w:highlight w:val="none"/>
                <w:u w:val="single"/>
              </w:rPr>
              <w:t xml:space="preserve"> </w:t>
            </w:r>
            <w:r>
              <w:rPr>
                <w:rFonts w:hint="eastAsia" w:ascii="宋体" w:hAnsi="宋体" w:eastAsia="宋体" w:cs="宋体"/>
                <w:b/>
                <w:bCs w:val="0"/>
                <w:color w:val="auto"/>
                <w:sz w:val="24"/>
                <w:szCs w:val="24"/>
                <w:highlight w:val="none"/>
              </w:rPr>
              <w:t>份</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正副本不一致时，以正本为准。</w:t>
            </w:r>
          </w:p>
          <w:p w14:paraId="62294851">
            <w:pPr>
              <w:pStyle w:val="41"/>
              <w:widowControl w:val="0"/>
              <w:numPr>
                <w:ilvl w:val="0"/>
                <w:numId w:val="0"/>
              </w:numPr>
              <w:spacing w:before="0" w:beforeAutospacing="0" w:after="0" w:afterAutospacing="0" w:line="360" w:lineRule="auto"/>
              <w:jc w:val="both"/>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注：中标单位需在领取中标通知书时提供与投标文件一致的电子档投标文件。</w:t>
            </w:r>
          </w:p>
        </w:tc>
      </w:tr>
      <w:tr w14:paraId="4C9A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59" w:type="pct"/>
            <w:vAlign w:val="center"/>
          </w:tcPr>
          <w:p w14:paraId="07176F6D">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
                <w:bCs w:val="0"/>
                <w:color w:val="auto"/>
                <w:kern w:val="2"/>
                <w:highlight w:val="none"/>
                <w:lang w:val="en-US" w:eastAsia="zh-CN"/>
              </w:rPr>
              <w:t>34</w:t>
            </w:r>
          </w:p>
        </w:tc>
        <w:tc>
          <w:tcPr>
            <w:tcW w:w="1134" w:type="pct"/>
            <w:vAlign w:val="center"/>
          </w:tcPr>
          <w:p w14:paraId="082F6249">
            <w:pPr>
              <w:pStyle w:val="41"/>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bCs w:val="0"/>
                <w:color w:val="auto"/>
                <w:sz w:val="24"/>
                <w:highlight w:val="none"/>
                <w:lang w:val="en-US" w:eastAsia="zh-CN"/>
              </w:rPr>
              <w:t>签字或盖章及密封要求</w:t>
            </w:r>
          </w:p>
        </w:tc>
        <w:tc>
          <w:tcPr>
            <w:tcW w:w="3306" w:type="pct"/>
            <w:vAlign w:val="center"/>
          </w:tcPr>
          <w:p w14:paraId="5098965C">
            <w:pPr>
              <w:pStyle w:val="41"/>
              <w:widowControl w:val="0"/>
              <w:numPr>
                <w:ilvl w:val="0"/>
                <w:numId w:val="0"/>
              </w:numPr>
              <w:spacing w:before="0" w:beforeAutospacing="0" w:after="0" w:afterAutospacing="0" w:line="360" w:lineRule="auto"/>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rPr>
              <w:t>一正两副装订成册，密封在档案袋中，档案袋封面注明项目名称、单位、联系人及联系方式</w:t>
            </w:r>
          </w:p>
        </w:tc>
      </w:tr>
    </w:tbl>
    <w:p w14:paraId="369F4067">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2" w:name="_Toc24882"/>
      <w:bookmarkStart w:id="23" w:name="_Toc9427"/>
      <w:r>
        <w:rPr>
          <w:rFonts w:hint="eastAsia" w:ascii="宋体" w:hAnsi="宋体" w:eastAsia="宋体" w:cs="宋体"/>
          <w:b/>
          <w:color w:val="auto"/>
          <w:sz w:val="24"/>
          <w:highlight w:val="none"/>
        </w:rPr>
        <w:t>二、投标人须知正文</w:t>
      </w:r>
      <w:bookmarkEnd w:id="22"/>
      <w:bookmarkEnd w:id="23"/>
    </w:p>
    <w:p w14:paraId="005193FF">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05D1AEE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2D6E07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0DD9D610">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1.3政府采购监督管理部门：各级人民政府指定的有关部门依法履行与政府采购活动有关的监督管理职责。</w:t>
      </w:r>
    </w:p>
    <w:p w14:paraId="06911AE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投标人：投标人：是指向采购人提供货物、工程或者服务的法人、其他组织或者自然人。分支机构不得参加政府采购活动，但银行、保险、石油石化、电力、电信等特殊行业除外。本项目的投标人须满足以下条件：</w:t>
      </w:r>
    </w:p>
    <w:p w14:paraId="247686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34CC110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32DA339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6196DCF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0B80BE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32E27B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5A07FA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1C3560B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72EB6A7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4B3BF93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0F114E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1FCE7D5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B6955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41DB50CA">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12B01A9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54B4B519">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23F68E2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3D8DF20C">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067143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w:t>
      </w:r>
      <w:r>
        <w:rPr>
          <w:rFonts w:hint="eastAsia" w:ascii="宋体" w:hAnsi="宋体" w:eastAsia="宋体" w:cs="宋体"/>
          <w:color w:val="auto"/>
          <w:sz w:val="24"/>
          <w:szCs w:val="22"/>
          <w:highlight w:val="none"/>
          <w:lang w:val="en-US" w:eastAsia="zh-CN"/>
        </w:rPr>
        <w:t>及</w:t>
      </w:r>
      <w:r>
        <w:rPr>
          <w:rFonts w:hint="eastAsia" w:ascii="宋体" w:hAnsi="宋体" w:eastAsia="宋体" w:cs="宋体"/>
          <w:color w:val="auto"/>
          <w:sz w:val="24"/>
          <w:szCs w:val="22"/>
          <w:highlight w:val="none"/>
        </w:rPr>
        <w:t>本项目本级和上级财政部门、政府采购监督管理部门的政府采购有关规定的约束，其权利受到上述法律法规的保护。</w:t>
      </w:r>
    </w:p>
    <w:p w14:paraId="60B7750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.招标文件构成</w:t>
      </w:r>
    </w:p>
    <w:p w14:paraId="5965DB9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2EEC204C">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2AD9F6C8">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44BF89C5">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7ADAF036">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50309AE1">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3712905F">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0A6FC472">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322D76A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b w:val="0"/>
          <w:bCs/>
          <w:color w:val="auto"/>
          <w:kern w:val="2"/>
          <w:sz w:val="24"/>
          <w:szCs w:val="22"/>
          <w:highlight w:val="none"/>
          <w:lang w:val="en-US" w:eastAsia="zh-CN" w:bidi="ar-SA"/>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D560E7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投标人应认真阅读招标文件所有的事项、格式、条款和技术规范等。</w:t>
      </w:r>
    </w:p>
    <w:p w14:paraId="101D818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.招标文件的澄清与修改</w:t>
      </w:r>
    </w:p>
    <w:p w14:paraId="7ABE8F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.1投标人如对招标文件内容有疑问，必须在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规定的网上询问截止时间前以电子邮件提交给采购代理机构（邮箱：290407638@qq.com）。</w:t>
      </w:r>
    </w:p>
    <w:p w14:paraId="5D09623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w:t>
      </w:r>
      <w:r>
        <w:rPr>
          <w:rFonts w:hint="eastAsia" w:ascii="宋体" w:hAnsi="宋体" w:eastAsia="宋体" w:cs="宋体"/>
          <w:color w:val="auto"/>
          <w:sz w:val="24"/>
          <w:highlight w:val="none"/>
          <w:lang w:eastAsia="zh-CN"/>
        </w:rPr>
        <w:t>滁州市第二人民医院</w:t>
      </w:r>
      <w:r>
        <w:rPr>
          <w:rFonts w:hint="eastAsia" w:ascii="宋体" w:hAnsi="宋体" w:eastAsia="宋体" w:cs="宋体"/>
          <w:color w:val="auto"/>
          <w:sz w:val="24"/>
          <w:highlight w:val="none"/>
        </w:rPr>
        <w:t>官网以发布更正公告的方式，澄清或修改招标文件，更正公告的内容作为招标文件的组成部分，对投标人起约束作用。投标人应主动上网查询。采购代理机构不承担投标人未及时关注相关信息引发的相关责任。</w:t>
      </w:r>
    </w:p>
    <w:p w14:paraId="01E392D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7879A639">
      <w:pPr>
        <w:spacing w:line="360" w:lineRule="auto"/>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2F518D7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.投标范围及投标文件中标准和计量单位的使用</w:t>
      </w:r>
    </w:p>
    <w:p w14:paraId="4F1961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1366855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5EBEE37">
      <w:pPr>
        <w:spacing w:line="360" w:lineRule="auto"/>
        <w:ind w:firstLine="435"/>
        <w:rPr>
          <w:rFonts w:hint="eastAsia" w:ascii="宋体" w:hAnsi="宋体" w:eastAsia="宋体" w:cs="宋体"/>
          <w:color w:val="auto"/>
          <w:sz w:val="24"/>
          <w:highlight w:val="none"/>
        </w:rPr>
      </w:pPr>
      <w:bookmarkStart w:id="24"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工程</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sz w:val="24"/>
          <w:highlight w:val="none"/>
          <w:u w:val="none"/>
          <w:lang w:val="en-US" w:eastAsia="zh-CN"/>
        </w:rPr>
        <w:t>如有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均应符合国家强制性标准。</w:t>
      </w:r>
    </w:p>
    <w:bookmarkEnd w:id="24"/>
    <w:p w14:paraId="09DA4BD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1C73D9B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68D5BFF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28326DF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5FD335C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5" w:name="_Hlk11703583"/>
      <w:r>
        <w:rPr>
          <w:rFonts w:hint="eastAsia" w:ascii="宋体" w:hAnsi="宋体" w:eastAsia="宋体" w:cs="宋体"/>
          <w:color w:val="auto"/>
          <w:sz w:val="24"/>
          <w:highlight w:val="none"/>
          <w:lang w:val="en-US" w:eastAsia="zh-CN"/>
        </w:rPr>
        <w:t>等。</w:t>
      </w:r>
    </w:p>
    <w:bookmarkEnd w:id="25"/>
    <w:p w14:paraId="30B6F9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6E2C301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6263F2F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50DF9E2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56C8B1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65CAB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86A0B8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7E9313B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37000A8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3ECD646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5E3819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08714A0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3F56CF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8F2F72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6E1F77A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.1投标人应当在招标公告规定的投标截止时间前递交投标文件。</w:t>
      </w:r>
    </w:p>
    <w:p w14:paraId="74C678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.2投标人应当在投标截止时间前完成投标文件的递交，并可以补充、修改或者撤回投标文件。投标截止时间前未完成投标文件递交的，视为撤回投标文件。未按规定投标截止时间后送达的投标文件，应当拒收。</w:t>
      </w:r>
    </w:p>
    <w:p w14:paraId="7B4BBB0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010BC0F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开标时，采购代理机构将公布开标结果，公布内容包括投标人名称、投标价格及招标文件规定的内容。</w:t>
      </w:r>
    </w:p>
    <w:p w14:paraId="6184C70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1E0D8F3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采购人或采购代理机构将对开标过程进行记录，由参加开标的各投标人代表和相关工作人员签字确认，并存档备查。</w:t>
      </w:r>
    </w:p>
    <w:p w14:paraId="64333D5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投标人未派代表参加开标的，视同投标人认可开标结果。</w:t>
      </w:r>
    </w:p>
    <w:p w14:paraId="42F15850">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4D2E8A3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4D47C21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2EE481EE">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按照《中华人民共和国政府采购法》、《中华人民共和国政府采购法实施条例》及本项目本级和上级财政部门、政府采购监督管理部门的有关规定依法组建的评标委员会，负责本项目评标工作。</w:t>
      </w:r>
    </w:p>
    <w:p w14:paraId="34064070">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32F4AA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5EA24F2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投标文件的澄清</w:t>
      </w:r>
    </w:p>
    <w:p w14:paraId="6F66DCE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w:t>
      </w:r>
      <w:r>
        <w:rPr>
          <w:rFonts w:hint="eastAsia" w:ascii="宋体" w:hAnsi="宋体" w:eastAsia="宋体" w:cs="宋体"/>
          <w:color w:val="auto"/>
          <w:sz w:val="24"/>
          <w:highlight w:val="none"/>
          <w:lang w:val="en-US" w:eastAsia="zh-CN"/>
        </w:rPr>
        <w:t>邮件的</w:t>
      </w:r>
      <w:r>
        <w:rPr>
          <w:rFonts w:hint="eastAsia" w:ascii="宋体" w:hAnsi="宋体" w:eastAsia="宋体" w:cs="宋体"/>
          <w:color w:val="auto"/>
          <w:sz w:val="24"/>
          <w:highlight w:val="none"/>
        </w:rPr>
        <w:t>方式（代理机构：290407638@qq.com）进行，并不得超出投标文件范围或者改变投标文件的实质性内容。</w:t>
      </w:r>
    </w:p>
    <w:p w14:paraId="47312BA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.2投标人的澄清、说明或补正将作为投标文件的一部分。</w:t>
      </w:r>
    </w:p>
    <w:p w14:paraId="26ADD34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.3评标委员会对投标人提交的澄清、说明或补正有疑问的，可以要求投标人进一步澄清、说明或补正，直至满足评标委员会的要求。</w:t>
      </w:r>
    </w:p>
    <w:p w14:paraId="0A11640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投标文件报价出现前后不一致的，按照下列规定修正：</w:t>
      </w:r>
    </w:p>
    <w:p w14:paraId="341525F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23AF333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4A25D46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5D42F3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5FEB6CC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条的规定经投标人确认后产生约束力，投标人不确认的，其投标将被认定为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97AA765">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07B749A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52E400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213B951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19D87BB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件的，评标委员会视同其未提供。</w:t>
      </w:r>
    </w:p>
    <w:p w14:paraId="2E88AE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3E2EA2D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21311B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41BD11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2450E38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20C9093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17C09E2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1191FB7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08C7AAA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76C83DD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1212220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13E53AC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672A446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5979094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6BA0474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4D88717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3B388CA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2069E12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496BEAF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2F12861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62EBD13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33B8CEE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4A9A619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312668A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10CE994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2C2BE9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23E47D5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5122EFF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20.1</w:t>
      </w:r>
      <w:r>
        <w:rPr>
          <w:rFonts w:hint="eastAsia" w:ascii="宋体" w:hAnsi="宋体" w:eastAsia="宋体" w:cs="宋体"/>
          <w:color w:val="auto"/>
          <w:sz w:val="24"/>
          <w:highlight w:val="none"/>
        </w:rPr>
        <w:t>评标委员会依据本项目招标文件所约定的评标方法，对实质上响应招标文件的投标人按下列方法进行排序，确定中标候选人：</w:t>
      </w:r>
    </w:p>
    <w:p w14:paraId="3D7AE6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18153B59">
      <w:pPr>
        <w:spacing w:line="360" w:lineRule="auto"/>
        <w:ind w:firstLine="435"/>
        <w:rPr>
          <w:rFonts w:hint="eastAsia" w:ascii="宋体" w:hAnsi="宋体" w:eastAsia="宋体" w:cs="宋体"/>
          <w:lang w:val="en-US" w:eastAsia="zh-CN"/>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7281C9B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7EB25BF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788426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6040EB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1945B62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33274A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BF5254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7ACB301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2F69A0E">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szCs w:val="18"/>
          <w:highlight w:val="none"/>
        </w:rPr>
        <w:t>自中标人确定之日起2个工作日内，采购</w:t>
      </w:r>
      <w:r>
        <w:rPr>
          <w:rFonts w:hint="eastAsia" w:ascii="宋体" w:hAnsi="宋体" w:eastAsia="宋体" w:cs="宋体"/>
          <w:color w:val="auto"/>
          <w:sz w:val="24"/>
          <w:szCs w:val="18"/>
          <w:highlight w:val="none"/>
          <w:lang w:val="en-US" w:eastAsia="zh-CN"/>
        </w:rPr>
        <w:t>人</w:t>
      </w:r>
      <w:r>
        <w:rPr>
          <w:rFonts w:hint="eastAsia" w:ascii="宋体" w:hAnsi="宋体" w:eastAsia="宋体" w:cs="宋体"/>
          <w:color w:val="auto"/>
          <w:sz w:val="24"/>
          <w:szCs w:val="18"/>
          <w:highlight w:val="none"/>
        </w:rPr>
        <w:t>将在</w:t>
      </w:r>
      <w:r>
        <w:rPr>
          <w:rFonts w:hint="eastAsia" w:ascii="宋体" w:hAnsi="宋体" w:eastAsia="宋体" w:cs="宋体"/>
          <w:color w:val="auto"/>
          <w:sz w:val="24"/>
          <w:szCs w:val="18"/>
          <w:highlight w:val="none"/>
          <w:lang w:eastAsia="zh-CN"/>
        </w:rPr>
        <w:t>滁州市第二人民医院</w:t>
      </w:r>
      <w:r>
        <w:rPr>
          <w:rFonts w:hint="eastAsia" w:ascii="宋体" w:hAnsi="宋体" w:eastAsia="宋体" w:cs="宋体"/>
          <w:color w:val="auto"/>
          <w:sz w:val="24"/>
          <w:szCs w:val="18"/>
          <w:highlight w:val="none"/>
        </w:rPr>
        <w:t>官网（</w:t>
      </w:r>
      <w:r>
        <w:rPr>
          <w:rFonts w:hint="eastAsia" w:ascii="宋体" w:hAnsi="宋体" w:eastAsia="宋体" w:cs="宋体"/>
          <w:color w:val="auto"/>
          <w:sz w:val="24"/>
          <w:szCs w:val="18"/>
          <w:highlight w:val="none"/>
          <w:lang w:eastAsia="zh-CN"/>
        </w:rPr>
        <w:t>https://www.czsey.com/</w:t>
      </w:r>
      <w:r>
        <w:rPr>
          <w:rFonts w:hint="eastAsia" w:ascii="宋体" w:hAnsi="宋体" w:eastAsia="宋体" w:cs="宋体"/>
          <w:color w:val="auto"/>
          <w:sz w:val="24"/>
          <w:szCs w:val="18"/>
          <w:highlight w:val="none"/>
        </w:rPr>
        <w:t>）上发布中标结果公告。</w:t>
      </w:r>
    </w:p>
    <w:p w14:paraId="4F567C3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w:t>
      </w:r>
      <w:r>
        <w:rPr>
          <w:rFonts w:hint="eastAsia" w:ascii="宋体" w:hAnsi="宋体" w:eastAsia="宋体" w:cs="宋体"/>
          <w:color w:val="auto"/>
          <w:sz w:val="24"/>
          <w:highlight w:val="none"/>
          <w:lang w:val="en-US" w:eastAsia="zh-CN"/>
        </w:rPr>
        <w:t>服务范围、</w:t>
      </w:r>
      <w:r>
        <w:rPr>
          <w:rFonts w:hint="eastAsia" w:ascii="宋体" w:hAnsi="宋体" w:eastAsia="宋体" w:cs="宋体"/>
          <w:color w:val="auto"/>
          <w:sz w:val="24"/>
          <w:highlight w:val="none"/>
        </w:rPr>
        <w:t>服务要求、服务时间、服务标准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中标公告期限、以及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2493ADE7">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0E0FED9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w:t>
      </w:r>
    </w:p>
    <w:p w14:paraId="67CE793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77DB8E9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6CC6E80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2F15545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47E0FCC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76D43D5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27CC2F2B">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3F2C1D4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497A933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0F65CD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7F57D02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1FFB62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4D6C811D">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2CC3629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3C3D1B2D">
      <w:pPr>
        <w:spacing w:line="360" w:lineRule="auto"/>
        <w:ind w:firstLine="437"/>
        <w:outlineLvl w:val="2"/>
        <w:rPr>
          <w:rFonts w:hint="eastAsia" w:ascii="宋体" w:hAnsi="宋体" w:eastAsia="宋体" w:cs="宋体"/>
          <w:b/>
          <w:color w:val="auto"/>
          <w:sz w:val="24"/>
          <w:highlight w:val="none"/>
        </w:rPr>
      </w:pPr>
      <w:bookmarkStart w:id="26" w:name="_Toc518923100"/>
      <w:bookmarkStart w:id="27" w:name="_Toc2583661"/>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26"/>
      <w:bookmarkEnd w:id="27"/>
    </w:p>
    <w:p w14:paraId="1ABFDE0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58AA2D2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F76D820">
      <w:pPr>
        <w:spacing w:line="360" w:lineRule="auto"/>
        <w:ind w:firstLine="437"/>
        <w:outlineLvl w:val="2"/>
        <w:rPr>
          <w:rFonts w:hint="eastAsia" w:ascii="宋体" w:hAnsi="宋体" w:eastAsia="宋体" w:cs="宋体"/>
          <w:b/>
          <w:color w:val="auto"/>
          <w:sz w:val="24"/>
          <w:highlight w:val="none"/>
        </w:rPr>
      </w:pPr>
      <w:bookmarkStart w:id="28" w:name="_Toc518923101"/>
      <w:bookmarkStart w:id="29" w:name="_Toc2583662"/>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28"/>
      <w:bookmarkEnd w:id="29"/>
    </w:p>
    <w:p w14:paraId="1010907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521CC5B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12C5B4A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431364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D5509E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2332E58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.需要补充的其他内容</w:t>
      </w:r>
    </w:p>
    <w:p w14:paraId="4DFABE2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11C797FA">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79F8000F">
      <w:pPr>
        <w:numPr>
          <w:ilvl w:val="0"/>
          <w:numId w:val="2"/>
        </w:numPr>
        <w:spacing w:line="360" w:lineRule="auto"/>
        <w:jc w:val="center"/>
        <w:outlineLvl w:val="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 xml:space="preserve"> </w:t>
      </w:r>
      <w:bookmarkStart w:id="30" w:name="_Toc22605"/>
      <w:r>
        <w:rPr>
          <w:rFonts w:hint="eastAsia" w:ascii="宋体" w:hAnsi="宋体" w:eastAsia="宋体" w:cs="宋体"/>
          <w:b/>
          <w:color w:val="auto"/>
          <w:sz w:val="28"/>
          <w:highlight w:val="none"/>
        </w:rPr>
        <w:t>采购需求</w:t>
      </w:r>
      <w:bookmarkEnd w:id="30"/>
    </w:p>
    <w:p w14:paraId="66B8BECD">
      <w:pPr>
        <w:spacing w:line="360" w:lineRule="auto"/>
        <w:ind w:firstLine="437"/>
        <w:outlineLvl w:val="1"/>
        <w:rPr>
          <w:rFonts w:hint="eastAsia" w:ascii="宋体" w:hAnsi="宋体" w:eastAsia="宋体" w:cs="宋体"/>
          <w:b/>
          <w:color w:val="auto"/>
          <w:sz w:val="24"/>
          <w:szCs w:val="18"/>
          <w:highlight w:val="none"/>
        </w:rPr>
      </w:pPr>
      <w:bookmarkStart w:id="31" w:name="_Toc21798"/>
      <w:bookmarkStart w:id="32" w:name="_Toc4148"/>
      <w:bookmarkStart w:id="33" w:name="_Hlk23621890"/>
      <w:r>
        <w:rPr>
          <w:rFonts w:hint="eastAsia" w:ascii="宋体" w:hAnsi="宋体" w:eastAsia="宋体" w:cs="宋体"/>
          <w:b/>
          <w:color w:val="auto"/>
          <w:sz w:val="24"/>
          <w:szCs w:val="18"/>
          <w:highlight w:val="none"/>
        </w:rPr>
        <w:t>一、采购需求前附表</w:t>
      </w:r>
      <w:bookmarkEnd w:id="31"/>
      <w:bookmarkEnd w:id="32"/>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411"/>
      </w:tblGrid>
      <w:tr w14:paraId="25AF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E8EF000">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6A20F0E7">
            <w:pPr>
              <w:pStyle w:val="41"/>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6C9E5FEA">
            <w:pPr>
              <w:pStyle w:val="41"/>
              <w:widowControl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5DE8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470C28">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yellow"/>
              </w:rPr>
            </w:pPr>
            <w:r>
              <w:rPr>
                <w:rFonts w:hint="eastAsia" w:ascii="宋体" w:hAnsi="宋体" w:eastAsia="宋体" w:cs="宋体"/>
                <w:bCs/>
                <w:color w:val="auto"/>
                <w:kern w:val="2"/>
                <w:highlight w:val="yellow"/>
              </w:rPr>
              <w:t>1</w:t>
            </w:r>
          </w:p>
        </w:tc>
        <w:tc>
          <w:tcPr>
            <w:tcW w:w="1192" w:type="pct"/>
            <w:vAlign w:val="center"/>
          </w:tcPr>
          <w:p w14:paraId="1C50F479">
            <w:pPr>
              <w:pStyle w:val="41"/>
              <w:widowControl w:val="0"/>
              <w:spacing w:before="0" w:beforeAutospacing="0" w:after="0" w:afterAutospacing="0" w:line="360" w:lineRule="auto"/>
              <w:rPr>
                <w:rFonts w:hint="eastAsia" w:ascii="宋体" w:hAnsi="宋体" w:eastAsia="宋体" w:cs="宋体"/>
                <w:b w:val="0"/>
                <w:color w:val="auto"/>
                <w:sz w:val="24"/>
                <w:highlight w:val="yellow"/>
              </w:rPr>
            </w:pPr>
            <w:r>
              <w:rPr>
                <w:rFonts w:hint="eastAsia" w:ascii="宋体" w:hAnsi="宋体" w:eastAsia="宋体" w:cs="宋体"/>
                <w:b w:val="0"/>
                <w:color w:val="auto"/>
                <w:sz w:val="24"/>
                <w:highlight w:val="yellow"/>
              </w:rPr>
              <w:t>付款方式</w:t>
            </w:r>
          </w:p>
        </w:tc>
        <w:tc>
          <w:tcPr>
            <w:tcW w:w="3217" w:type="pct"/>
            <w:vAlign w:val="center"/>
          </w:tcPr>
          <w:p w14:paraId="056C4DA6">
            <w:pPr>
              <w:pStyle w:val="41"/>
              <w:widowControl w:val="0"/>
              <w:spacing w:before="0" w:beforeAutospacing="0" w:after="0" w:afterAutospacing="0" w:line="360" w:lineRule="auto"/>
              <w:jc w:val="both"/>
              <w:rPr>
                <w:rFonts w:hint="default" w:ascii="宋体" w:hAnsi="宋体" w:eastAsia="宋体" w:cs="宋体"/>
                <w:b w:val="0"/>
                <w:color w:val="auto"/>
                <w:sz w:val="24"/>
                <w:highlight w:val="yellow"/>
                <w:u w:val="none"/>
                <w:lang w:val="en-US" w:eastAsia="zh-CN"/>
              </w:rPr>
            </w:pPr>
            <w:r>
              <w:rPr>
                <w:rFonts w:hint="eastAsia" w:ascii="宋体" w:hAnsi="宋体" w:eastAsia="宋体" w:cs="宋体"/>
                <w:b w:val="0"/>
                <w:color w:val="auto"/>
                <w:sz w:val="24"/>
                <w:highlight w:val="yellow"/>
                <w:u w:val="none"/>
                <w:lang w:val="en-US" w:eastAsia="zh-CN"/>
              </w:rPr>
              <w:t>养护费用支付周期为半年一付，按照实际养护面积*中标单价*养护天数据实结算。</w:t>
            </w:r>
          </w:p>
        </w:tc>
      </w:tr>
      <w:tr w14:paraId="09A4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FB0ACEF">
            <w:pPr>
              <w:pStyle w:val="42"/>
              <w:pBdr>
                <w:bottom w:val="none" w:color="auto" w:sz="0" w:space="0"/>
              </w:pBdr>
              <w:tabs>
                <w:tab w:val="clear" w:pos="4153"/>
                <w:tab w:val="clear" w:pos="8306"/>
              </w:tabs>
              <w:adjustRightInd/>
              <w:spacing w:line="240" w:lineRule="auto"/>
              <w:textAlignment w:val="auto"/>
              <w:rPr>
                <w:rFonts w:hint="default"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2</w:t>
            </w:r>
          </w:p>
        </w:tc>
        <w:tc>
          <w:tcPr>
            <w:tcW w:w="1192" w:type="pct"/>
            <w:vAlign w:val="center"/>
          </w:tcPr>
          <w:p w14:paraId="7654328E">
            <w:pPr>
              <w:pStyle w:val="41"/>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服务地点</w:t>
            </w:r>
          </w:p>
        </w:tc>
        <w:tc>
          <w:tcPr>
            <w:tcW w:w="3217" w:type="pct"/>
            <w:vAlign w:val="center"/>
          </w:tcPr>
          <w:p w14:paraId="6F08746F">
            <w:pPr>
              <w:pStyle w:val="41"/>
              <w:widowControl w:val="0"/>
              <w:spacing w:before="0" w:beforeAutospacing="0" w:after="0" w:afterAutospacing="0" w:line="360" w:lineRule="auto"/>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u w:val="single"/>
                <w:lang w:val="en-US" w:eastAsia="zh-CN"/>
              </w:rPr>
              <w:t>滁州市第二人民医院</w:t>
            </w:r>
          </w:p>
        </w:tc>
      </w:tr>
      <w:tr w14:paraId="4243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C46CAA2">
            <w:pPr>
              <w:pStyle w:val="42"/>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74165191">
            <w:pPr>
              <w:pStyle w:val="41"/>
              <w:widowControl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服务期限</w:t>
            </w:r>
          </w:p>
        </w:tc>
        <w:tc>
          <w:tcPr>
            <w:tcW w:w="3217" w:type="pct"/>
            <w:vAlign w:val="center"/>
          </w:tcPr>
          <w:p w14:paraId="09A33624">
            <w:pPr>
              <w:pStyle w:val="41"/>
              <w:widowControl w:val="0"/>
              <w:spacing w:before="0" w:beforeAutospacing="0" w:after="0" w:afterAutospacing="0" w:line="360" w:lineRule="auto"/>
              <w:jc w:val="both"/>
              <w:rPr>
                <w:rFonts w:hint="eastAsia" w:ascii="宋体" w:hAnsi="宋体" w:eastAsia="宋体" w:cs="宋体"/>
                <w:b/>
                <w:bCs w:val="0"/>
                <w:color w:val="auto"/>
                <w:sz w:val="24"/>
                <w:highlight w:val="yellow"/>
                <w:u w:val="none"/>
                <w:lang w:val="en-US" w:eastAsia="zh-CN"/>
              </w:rPr>
            </w:pPr>
            <w:r>
              <w:rPr>
                <w:rFonts w:hint="eastAsia" w:ascii="宋体" w:hAnsi="宋体" w:eastAsia="宋体" w:cs="宋体"/>
                <w:b/>
                <w:bCs w:val="0"/>
                <w:color w:val="auto"/>
                <w:sz w:val="24"/>
                <w:highlight w:val="yellow"/>
                <w:u w:val="none"/>
                <w:lang w:val="en-US" w:eastAsia="zh-CN"/>
              </w:rPr>
              <w:t>本项目合同养护期三年，合同一年一签，具体时间以签订合同时间为准。</w:t>
            </w:r>
          </w:p>
          <w:p w14:paraId="6A725E21">
            <w:pPr>
              <w:pStyle w:val="41"/>
              <w:widowControl w:val="0"/>
              <w:spacing w:before="0" w:beforeAutospacing="0" w:after="0" w:afterAutospacing="0" w:line="360" w:lineRule="auto"/>
              <w:jc w:val="both"/>
              <w:rPr>
                <w:rFonts w:hint="eastAsia" w:ascii="宋体" w:hAnsi="宋体" w:eastAsia="宋体" w:cs="宋体"/>
                <w:b/>
                <w:bCs w:val="0"/>
                <w:color w:val="auto"/>
                <w:sz w:val="24"/>
                <w:highlight w:val="yellow"/>
                <w:u w:val="none"/>
                <w:lang w:val="en-US" w:eastAsia="zh-CN"/>
              </w:rPr>
            </w:pPr>
            <w:r>
              <w:rPr>
                <w:rFonts w:hint="eastAsia" w:ascii="宋体" w:hAnsi="宋体" w:eastAsia="宋体" w:cs="宋体"/>
                <w:b/>
                <w:bCs w:val="0"/>
                <w:color w:val="auto"/>
                <w:sz w:val="24"/>
                <w:highlight w:val="yellow"/>
                <w:u w:val="none"/>
                <w:lang w:val="en-US" w:eastAsia="zh-CN"/>
              </w:rPr>
              <w:t>特别说明：1.西区农疗场地绿化面积约5300平方米将于2025年4月28日到期；2.西院区绿化面积约13870平方米将于2025年9月27日到期；3.西院区西北角绿化面积约3200平方米将于2026年3月29日到期；4.东院区绿化面积约5500平方米，第二年合同将于2025年8月31日到期，本年底第三年合同不再进行续签；5.新建传染科住院综合楼绿化面积约4000平方米左右，免费养护期2年，从验收合格之日起计，目前还未验收，预计2027年5月到期。</w:t>
            </w:r>
          </w:p>
          <w:p w14:paraId="1137ABBB">
            <w:pPr>
              <w:pStyle w:val="41"/>
              <w:widowControl w:val="0"/>
              <w:spacing w:before="0" w:beforeAutospacing="0" w:after="0" w:afterAutospacing="0" w:line="360" w:lineRule="auto"/>
              <w:jc w:val="both"/>
              <w:rPr>
                <w:rFonts w:hint="default" w:ascii="宋体" w:hAnsi="宋体" w:eastAsia="宋体" w:cs="宋体"/>
                <w:b/>
                <w:bCs w:val="0"/>
                <w:color w:val="auto"/>
                <w:sz w:val="24"/>
                <w:highlight w:val="yellow"/>
                <w:u w:val="none"/>
                <w:lang w:val="en-US" w:eastAsia="zh-CN"/>
              </w:rPr>
            </w:pPr>
            <w:r>
              <w:rPr>
                <w:rFonts w:hint="eastAsia" w:ascii="宋体" w:hAnsi="宋体" w:eastAsia="宋体" w:cs="宋体"/>
                <w:b/>
                <w:bCs w:val="0"/>
                <w:color w:val="auto"/>
                <w:sz w:val="24"/>
                <w:highlight w:val="yellow"/>
                <w:u w:val="none"/>
                <w:lang w:val="en-US" w:eastAsia="zh-CN"/>
              </w:rPr>
              <w:t>上述五个区域合计服务期限为三年，具体开始时间以各个区域当前养护截止时间为准，实际绿化面积请各投标单位自行现场查看。</w:t>
            </w:r>
          </w:p>
        </w:tc>
      </w:tr>
    </w:tbl>
    <w:p w14:paraId="718667D9">
      <w:pPr>
        <w:spacing w:line="360" w:lineRule="auto"/>
        <w:rPr>
          <w:rFonts w:hint="eastAsia" w:ascii="宋体" w:hAnsi="宋体" w:eastAsia="宋体" w:cs="宋体"/>
          <w:color w:val="auto"/>
          <w:sz w:val="24"/>
          <w:highlight w:val="none"/>
          <w:lang w:val="en-US" w:eastAsia="zh-CN"/>
        </w:rPr>
      </w:pPr>
      <w:bookmarkStart w:id="34" w:name="_Hlk16461016"/>
    </w:p>
    <w:p w14:paraId="0AE9C54D">
      <w:pPr>
        <w:spacing w:line="360" w:lineRule="auto"/>
        <w:ind w:firstLine="437"/>
        <w:outlineLvl w:val="1"/>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val="en-US" w:eastAsia="zh-CN"/>
        </w:rPr>
        <w:t>二、服务内容：</w:t>
      </w:r>
    </w:p>
    <w:bookmarkEnd w:id="33"/>
    <w:bookmarkEnd w:id="34"/>
    <w:p w14:paraId="4ECD4B14">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（一）绿化养护的范围：</w:t>
      </w:r>
    </w:p>
    <w:p w14:paraId="11A1CD5D">
      <w:pPr>
        <w:spacing w:line="360" w:lineRule="auto"/>
        <w:ind w:firstLine="435"/>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1.西区农疗场地绿化面积约5300平方米，2.西院区绿化面积约13870平方米，3.西院区西北角绿化面积约3200平方米，4.东院区绿化面积约5500平方米，5.新建传染科住院综合楼绿化面积约4000平方米，实际绿化面积请各投标单位自行现场查看</w:t>
      </w:r>
    </w:p>
    <w:p w14:paraId="5A4A1795">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（二）养护要求：</w:t>
      </w:r>
    </w:p>
    <w:p w14:paraId="16D172EB">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①确保现有树木的成活率在100%，凡出现死亡、严重损伤的苗木（以业主认定为准），须在15日内安排补植、更换；乔、灌木等补植须选用同规格、同品种全冠苗，然后修剪至同等高度，人工费、苗木费、养护费等一切费用由中标人负责。招标人不再支付任何费用。中标人不补植的，招标人另行安排补植，费用从养护费用中扣除。(但如遇不可抗拒的自然灾害，所造成的损失，由甲方负责）</w:t>
      </w:r>
    </w:p>
    <w:p w14:paraId="0F39737F">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②做好树木的浇水、修剪、除虫、施肥等工作，确保全院绿化处于正常生长状态。在由专业技术人员对树木、绿篱进行塑型的基础上进行日常性的花木修剪，并最终成型、定型，实现院区的绿化到美化质的转变。</w:t>
      </w:r>
    </w:p>
    <w:p w14:paraId="35EB4571">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③做好草坪的修剪。每年至少修剪四次，草坪高度不超过5cm 。</w:t>
      </w:r>
    </w:p>
    <w:p w14:paraId="661A2EB5">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④病虫害防治。根据植物的特点，选择效果好、对植物无伤害的药物报招标人。药物防治每年 5 次以上，人工防治 2 次以上，确保树木花草无病虫症状，病虫害危害率控制在1%以内。药物防治必须要做到对院区空气、水体等不产生污染，不得对植物有药害现象。</w:t>
      </w:r>
    </w:p>
    <w:p w14:paraId="0ACE4531">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⑤施肥管理。每年施肥的次数为乔木、灌木、花草、草坪各 3-4次以上，绿地以施有机肥料为主，树木施肥先挖好施肥环沟，其外径与冠幅相适应。除根外施肥外，肥料不得触及树叶，施肥在睛天进行。</w:t>
      </w:r>
    </w:p>
    <w:p w14:paraId="63C9F547">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⑥根据季节及时清除绿化区域内的杂草，夏季每半月1次，一年不少于12次。</w:t>
      </w:r>
    </w:p>
    <w:p w14:paraId="1B3E5EF3">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⑦认真做好预防性工作，如寒流、台风来临前应加派人手进行草绳裹树干、防固等措施，并及时做好一些应急性补救工作。</w:t>
      </w:r>
    </w:p>
    <w:p w14:paraId="47491BE4">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 xml:space="preserve">⑧绿化带内施工后和修剪后的枯枝树叶和杂物等垃圾，由中标人负责清运，费用含在投标报价内，招标人不再支付任何费。 </w:t>
      </w:r>
    </w:p>
    <w:p w14:paraId="625BBDCF">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3、各类养护人员必须配证上岗，统一着装，工作服由养护单位自行配置，标识明显，工作服服装样式为招标人指定样式。养护单位要保证养护人员的安全，且必须为养护人员缴纳意外伤害保险。如造成伤害，后果由养护单位自行负责，与招标人无任何法律关系。</w:t>
      </w:r>
    </w:p>
    <w:p w14:paraId="6C28D624">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yellow"/>
          <w:lang w:val="en-US" w:eastAsia="zh-CN"/>
        </w:rPr>
        <w:t>4、本项目投标人需承担采购文件中所有内容，养护过程中的一切安全责任事故由中标单位负责，与采购人无关。</w:t>
      </w:r>
    </w:p>
    <w:p w14:paraId="7BF81795">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（三）绿化养护管理要求：</w:t>
      </w:r>
    </w:p>
    <w:p w14:paraId="218D3561">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1.进场前要求：</w:t>
      </w:r>
    </w:p>
    <w:p w14:paraId="336799C8">
      <w:pPr>
        <w:spacing w:line="360" w:lineRule="auto"/>
        <w:ind w:firstLine="435"/>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（1）绿化组：中标人在进场前须组织绿化施工小组，</w:t>
      </w:r>
      <w:r>
        <w:rPr>
          <w:rFonts w:hint="eastAsia" w:ascii="宋体" w:hAnsi="宋体" w:eastAsia="宋体" w:cs="宋体"/>
          <w:color w:val="auto"/>
          <w:sz w:val="24"/>
          <w:highlight w:val="yellow"/>
          <w:lang w:val="en-US" w:eastAsia="zh-CN"/>
        </w:rPr>
        <w:t>组成人员至少2人。</w:t>
      </w:r>
    </w:p>
    <w:p w14:paraId="12520C3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养护方案：中标人须在每季度5日前以书面形式上报养护方案及养护人员名单，通过招标人批准后，方可实施。若养护人员有所调整，须及时上报招标人，待招标人同意后方可调整。未上报养护方案或未按照养护方案实施的，处以中标人500元/次的违约金，直接从养护费用中扣除。</w:t>
      </w:r>
    </w:p>
    <w:p w14:paraId="3A9847B1">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2.人员配置要求：</w:t>
      </w:r>
    </w:p>
    <w:p w14:paraId="35648498">
      <w:pPr>
        <w:spacing w:line="360" w:lineRule="auto"/>
        <w:ind w:firstLine="435"/>
        <w:rPr>
          <w:rFonts w:hint="eastAsia" w:ascii="宋体" w:hAnsi="宋体" w:eastAsia="宋体" w:cs="宋体"/>
          <w:color w:val="0000FF"/>
          <w:sz w:val="24"/>
          <w:highlight w:val="none"/>
          <w:lang w:val="en-US" w:eastAsia="zh-CN"/>
        </w:rPr>
      </w:pPr>
      <w:r>
        <w:rPr>
          <w:rFonts w:hint="eastAsia" w:ascii="宋体" w:hAnsi="宋体" w:eastAsia="宋体" w:cs="宋体"/>
          <w:color w:val="0000FF"/>
          <w:sz w:val="24"/>
          <w:highlight w:val="none"/>
          <w:lang w:val="en-US" w:eastAsia="zh-CN"/>
        </w:rPr>
        <w:t>（1）技术负责人1人，每周来两天指导养护1人工作日常驻；</w:t>
      </w:r>
    </w:p>
    <w:p w14:paraId="24FD7FF7">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（2）其他工作要求：</w:t>
      </w:r>
    </w:p>
    <w:p w14:paraId="55670D4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招标人根据每季度上报的养护人员名单将进行不定期检查，发现养护人员不在岗的，按每人每次500元处以违约金，直接从养护费用中扣除。</w:t>
      </w:r>
    </w:p>
    <w:p w14:paraId="349107F2">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各类养管人员必须配证上岗，统一着装，工作服由养护单位自行配置，标识明显。养护单位要保证养护人员的安全，且必须为养护人员缴纳意外伤害保险。如造成伤害，后果由养护单位自行负责，与招标人无任何法律关系。</w:t>
      </w:r>
    </w:p>
    <w:p w14:paraId="623DB787">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3.机械设施设备配置：</w:t>
      </w:r>
    </w:p>
    <w:p w14:paraId="04FC8F4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械设备配置：须配备养护工具车1辆，同时各类养护设备均在中标进场后1个月内完成配备，具体如下：割草机2台，高枝油锯1台，油锯1台，绿篱修剪机3台，电动喷雾器3台，汽油高压打药机1台，汽油机抽水泵1台。</w:t>
      </w:r>
    </w:p>
    <w:p w14:paraId="5B103FA4">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4.绿化养护管理要求及其它</w:t>
      </w:r>
    </w:p>
    <w:p w14:paraId="64DBABD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绿化苗木死亡：中标人在管养期间，凡出现死亡、严重损伤的苗木（以业主认定为准），须在15日内安排补植、更换；乔、灌木补植须选用同规格、同品种全冠苗，绿篱、种植色块等须选择同品种、同规格健壮苗满栽、密植，然后修剪至同等高度，人工费、苗木费、养护费等一切费用由中标人负责。招标人不再支付任何费用。中标人不补植的，招标人另行安排补植，费用从养护费用中扣除</w:t>
      </w:r>
    </w:p>
    <w:p w14:paraId="023A84F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巡查制度：招标人对中标养护单位进行不定期巡查，巡查中发现的问题应以书面形式、电话通知形式告知中标人，中标人接到告知书后二日内做出响应，未及时整改到位的，按每1处1000元处予违约金，直接从养护费用中扣除</w:t>
      </w:r>
    </w:p>
    <w:p w14:paraId="46DA245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本项目养护期间按一级养护标准来管理并达标。</w:t>
      </w:r>
    </w:p>
    <w:p w14:paraId="6B62B93D">
      <w:pPr>
        <w:spacing w:line="360" w:lineRule="auto"/>
        <w:ind w:firstLine="435"/>
        <w:rPr>
          <w:rFonts w:hint="eastAsia" w:ascii="宋体" w:hAnsi="宋体" w:eastAsia="宋体" w:cs="宋体"/>
          <w:color w:val="auto"/>
          <w:sz w:val="24"/>
          <w:highlight w:val="none"/>
          <w:lang w:val="en-US" w:eastAsia="zh-CN"/>
        </w:rPr>
      </w:pPr>
    </w:p>
    <w:p w14:paraId="0ECFC572">
      <w:pPr>
        <w:pStyle w:val="8"/>
        <w:numPr>
          <w:ilvl w:val="0"/>
          <w:numId w:val="0"/>
        </w:numPr>
        <w:rPr>
          <w:rFonts w:hint="eastAsia" w:ascii="宋体" w:hAnsi="宋体" w:eastAsia="宋体" w:cs="宋体"/>
          <w:b w:val="0"/>
          <w:bCs/>
          <w:lang w:eastAsia="zh-CN"/>
        </w:rPr>
      </w:pPr>
    </w:p>
    <w:p w14:paraId="30499BA1">
      <w:pPr>
        <w:pStyle w:val="8"/>
        <w:numPr>
          <w:ilvl w:val="0"/>
          <w:numId w:val="0"/>
        </w:numPr>
        <w:rPr>
          <w:rFonts w:hint="eastAsia" w:ascii="宋体" w:hAnsi="宋体" w:eastAsia="宋体" w:cs="宋体"/>
          <w:b w:val="0"/>
          <w:bCs/>
          <w:lang w:eastAsia="zh-CN"/>
        </w:rPr>
      </w:pPr>
    </w:p>
    <w:p w14:paraId="2F5CAE5D">
      <w:pPr>
        <w:pStyle w:val="8"/>
        <w:numPr>
          <w:ilvl w:val="0"/>
          <w:numId w:val="0"/>
        </w:numPr>
        <w:rPr>
          <w:rFonts w:hint="eastAsia" w:ascii="宋体" w:hAnsi="宋体" w:eastAsia="宋体" w:cs="宋体"/>
          <w:b w:val="0"/>
          <w:bCs/>
          <w:lang w:eastAsia="zh-CN"/>
        </w:rPr>
      </w:pPr>
    </w:p>
    <w:p w14:paraId="75336508">
      <w:pPr>
        <w:pStyle w:val="8"/>
        <w:numPr>
          <w:ilvl w:val="0"/>
          <w:numId w:val="0"/>
        </w:numPr>
        <w:rPr>
          <w:rFonts w:hint="eastAsia" w:ascii="宋体" w:hAnsi="宋体" w:eastAsia="宋体" w:cs="宋体"/>
          <w:b w:val="0"/>
          <w:bCs/>
          <w:lang w:eastAsia="zh-CN"/>
        </w:rPr>
      </w:pPr>
    </w:p>
    <w:p w14:paraId="71BB0B89">
      <w:pPr>
        <w:pStyle w:val="8"/>
        <w:numPr>
          <w:ilvl w:val="0"/>
          <w:numId w:val="0"/>
        </w:numPr>
        <w:rPr>
          <w:rFonts w:hint="eastAsia" w:ascii="宋体" w:hAnsi="宋体" w:eastAsia="宋体" w:cs="宋体"/>
          <w:b w:val="0"/>
          <w:bCs/>
          <w:lang w:eastAsia="zh-CN"/>
        </w:rPr>
      </w:pPr>
    </w:p>
    <w:p w14:paraId="6451CE19">
      <w:pPr>
        <w:pStyle w:val="8"/>
        <w:numPr>
          <w:ilvl w:val="0"/>
          <w:numId w:val="0"/>
        </w:numPr>
        <w:rPr>
          <w:rFonts w:hint="eastAsia" w:ascii="宋体" w:hAnsi="宋体" w:eastAsia="宋体" w:cs="宋体"/>
          <w:b w:val="0"/>
          <w:bCs/>
          <w:lang w:eastAsia="zh-CN"/>
        </w:rPr>
      </w:pPr>
    </w:p>
    <w:p w14:paraId="6B5EC01E">
      <w:pPr>
        <w:pStyle w:val="8"/>
        <w:numPr>
          <w:ilvl w:val="0"/>
          <w:numId w:val="0"/>
        </w:numPr>
        <w:rPr>
          <w:rFonts w:hint="eastAsia" w:ascii="宋体" w:hAnsi="宋体" w:eastAsia="宋体" w:cs="宋体"/>
          <w:b w:val="0"/>
          <w:bCs/>
          <w:lang w:eastAsia="zh-CN"/>
        </w:rPr>
      </w:pPr>
    </w:p>
    <w:p w14:paraId="594606A6">
      <w:pPr>
        <w:spacing w:line="360" w:lineRule="auto"/>
        <w:jc w:val="center"/>
        <w:outlineLvl w:val="0"/>
        <w:rPr>
          <w:rFonts w:hint="eastAsia" w:ascii="宋体" w:hAnsi="宋体" w:eastAsia="宋体"/>
          <w:b/>
          <w:color w:val="auto"/>
          <w:sz w:val="28"/>
          <w:highlight w:val="none"/>
        </w:rPr>
      </w:pPr>
      <w:bookmarkStart w:id="35" w:name="_Toc3538"/>
      <w:r>
        <w:rPr>
          <w:rFonts w:hint="eastAsia" w:ascii="宋体" w:hAnsi="宋体" w:eastAsia="宋体" w:cs="宋体"/>
          <w:b/>
          <w:color w:val="auto"/>
          <w:sz w:val="28"/>
          <w:highlight w:val="none"/>
          <w:lang w:val="en-US" w:eastAsia="zh-CN"/>
        </w:rPr>
        <w:t xml:space="preserve">第四章 </w:t>
      </w:r>
      <w:r>
        <w:rPr>
          <w:rFonts w:hint="eastAsia" w:ascii="宋体" w:hAnsi="宋体" w:eastAsia="宋体" w:cs="宋体"/>
          <w:b/>
          <w:color w:val="auto"/>
          <w:sz w:val="28"/>
          <w:highlight w:val="none"/>
        </w:rPr>
        <w:t xml:space="preserve"> </w:t>
      </w:r>
      <w:bookmarkEnd w:id="35"/>
      <w:r>
        <w:rPr>
          <w:rFonts w:hint="eastAsia" w:ascii="宋体" w:hAnsi="宋体" w:eastAsia="宋体"/>
          <w:b/>
          <w:color w:val="auto"/>
          <w:sz w:val="28"/>
          <w:highlight w:val="none"/>
        </w:rPr>
        <w:t>评标方法和标准（综合评分法）</w:t>
      </w:r>
    </w:p>
    <w:p w14:paraId="26BC9EB5">
      <w:pPr>
        <w:spacing w:line="360" w:lineRule="auto"/>
        <w:ind w:firstLine="437"/>
        <w:outlineLvl w:val="1"/>
        <w:rPr>
          <w:rFonts w:asciiTheme="minorEastAsia" w:hAnsiTheme="minorEastAsia" w:eastAsiaTheme="minorEastAsia"/>
          <w:b/>
          <w:color w:val="auto"/>
          <w:sz w:val="24"/>
          <w:highlight w:val="none"/>
        </w:rPr>
      </w:pPr>
      <w:bookmarkStart w:id="36" w:name="_Toc6560"/>
      <w:bookmarkStart w:id="37" w:name="_Toc22115"/>
      <w:r>
        <w:rPr>
          <w:rFonts w:hint="eastAsia" w:asciiTheme="minorEastAsia" w:hAnsiTheme="minorEastAsia" w:eastAsiaTheme="minorEastAsia"/>
          <w:b/>
          <w:color w:val="auto"/>
          <w:sz w:val="24"/>
          <w:highlight w:val="none"/>
        </w:rPr>
        <w:t>一、总则</w:t>
      </w:r>
      <w:bookmarkEnd w:id="36"/>
      <w:bookmarkEnd w:id="37"/>
    </w:p>
    <w:p w14:paraId="586727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3F06EB61">
      <w:pPr>
        <w:spacing w:line="360" w:lineRule="auto"/>
        <w:ind w:firstLine="437"/>
        <w:outlineLvl w:val="1"/>
        <w:rPr>
          <w:rFonts w:asciiTheme="minorEastAsia" w:hAnsiTheme="minorEastAsia" w:eastAsiaTheme="minorEastAsia"/>
          <w:b/>
          <w:color w:val="auto"/>
          <w:sz w:val="24"/>
          <w:highlight w:val="none"/>
        </w:rPr>
      </w:pPr>
      <w:bookmarkStart w:id="38" w:name="_Toc28533"/>
      <w:bookmarkStart w:id="39" w:name="_Toc27343"/>
      <w:r>
        <w:rPr>
          <w:rFonts w:hint="eastAsia" w:asciiTheme="minorEastAsia" w:hAnsiTheme="minorEastAsia" w:eastAsiaTheme="minorEastAsia"/>
          <w:b/>
          <w:color w:val="auto"/>
          <w:sz w:val="24"/>
          <w:highlight w:val="none"/>
        </w:rPr>
        <w:t>二、评标方法</w:t>
      </w:r>
      <w:bookmarkEnd w:id="38"/>
      <w:bookmarkEnd w:id="39"/>
    </w:p>
    <w:p w14:paraId="0983C2DC">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9"/>
        <w:gridCol w:w="5325"/>
        <w:gridCol w:w="2217"/>
      </w:tblGrid>
      <w:tr w14:paraId="296B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9EB4DA5">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1508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7CD28867">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4029F816">
            <w:pPr>
              <w:pStyle w:val="42"/>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600" w:type="pct"/>
            <w:tcBorders>
              <w:bottom w:val="single" w:color="auto" w:sz="4" w:space="0"/>
            </w:tcBorders>
            <w:vAlign w:val="center"/>
          </w:tcPr>
          <w:p w14:paraId="6AB57226">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0" w:type="pct"/>
            <w:tcBorders>
              <w:bottom w:val="single" w:color="auto" w:sz="4" w:space="0"/>
            </w:tcBorders>
            <w:vAlign w:val="center"/>
          </w:tcPr>
          <w:p w14:paraId="5A8B24C5">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029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6628EFFE">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08D0B1F3">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0" w:type="pct"/>
            <w:tcBorders>
              <w:bottom w:val="single" w:color="auto" w:sz="4" w:space="0"/>
            </w:tcBorders>
            <w:vAlign w:val="center"/>
          </w:tcPr>
          <w:p w14:paraId="511F10A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5862C98E">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3B602A94">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662C803B">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02F2FE81">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lang w:eastAsia="zh-CN"/>
              </w:rPr>
              <w:t>；</w:t>
            </w:r>
          </w:p>
        </w:tc>
        <w:tc>
          <w:tcPr>
            <w:tcW w:w="1080" w:type="pct"/>
            <w:vAlign w:val="center"/>
          </w:tcPr>
          <w:p w14:paraId="5FB0E951">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r w14:paraId="1BCA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6DF99516">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54287A8A">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0" w:type="pct"/>
            <w:tcBorders>
              <w:bottom w:val="single" w:color="auto" w:sz="4" w:space="0"/>
            </w:tcBorders>
            <w:vAlign w:val="center"/>
          </w:tcPr>
          <w:p w14:paraId="7603AEB6">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80" w:type="pct"/>
            <w:vAlign w:val="center"/>
          </w:tcPr>
          <w:p w14:paraId="5A8796BA">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5BC1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CBCF1FF">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37E66E5A">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0" w:type="pct"/>
            <w:tcBorders>
              <w:bottom w:val="single" w:color="auto" w:sz="4" w:space="0"/>
            </w:tcBorders>
            <w:vAlign w:val="center"/>
          </w:tcPr>
          <w:p w14:paraId="5F95EB80">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0" w:type="pct"/>
            <w:tcBorders>
              <w:bottom w:val="single" w:color="auto" w:sz="4" w:space="0"/>
            </w:tcBorders>
            <w:vAlign w:val="center"/>
          </w:tcPr>
          <w:p w14:paraId="1640C256">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r w14:paraId="191F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4B7955FA">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1E5DC5F7">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600" w:type="pct"/>
            <w:tcBorders>
              <w:bottom w:val="single" w:color="auto" w:sz="4" w:space="0"/>
            </w:tcBorders>
            <w:vAlign w:val="center"/>
          </w:tcPr>
          <w:p w14:paraId="4562F6BC">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highlight w:val="none"/>
              </w:rPr>
              <w:t>如有，见第一章《投标邀请》</w:t>
            </w:r>
          </w:p>
        </w:tc>
        <w:tc>
          <w:tcPr>
            <w:tcW w:w="1080" w:type="pct"/>
            <w:tcBorders>
              <w:bottom w:val="single" w:color="auto" w:sz="4" w:space="0"/>
            </w:tcBorders>
            <w:vAlign w:val="center"/>
          </w:tcPr>
          <w:p w14:paraId="04AD34AA">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r w14:paraId="3B06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6701870C">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42" w:type="pct"/>
            <w:vAlign w:val="center"/>
          </w:tcPr>
          <w:p w14:paraId="47F5860B">
            <w:pPr>
              <w:spacing w:after="50" w:line="360" w:lineRule="auto"/>
              <w:ind w:right="-10"/>
              <w:jc w:val="both"/>
              <w:rPr>
                <w:rFonts w:ascii="宋体" w:hAnsi="宋体" w:eastAsia="宋体" w:cs="宋体"/>
                <w:spacing w:val="10"/>
                <w:sz w:val="24"/>
                <w:szCs w:val="24"/>
                <w:highlight w:val="none"/>
                <w:lang w:val="en-US" w:eastAsia="zh-CN"/>
              </w:rPr>
            </w:pPr>
            <w:r>
              <w:rPr>
                <w:rFonts w:ascii="宋体" w:hAnsi="宋体" w:eastAsia="宋体" w:cs="宋体"/>
                <w:spacing w:val="10"/>
                <w:sz w:val="24"/>
                <w:szCs w:val="24"/>
                <w:highlight w:val="none"/>
              </w:rPr>
              <w:t>其他特定资格要求</w:t>
            </w:r>
          </w:p>
        </w:tc>
        <w:tc>
          <w:tcPr>
            <w:tcW w:w="2600" w:type="pct"/>
            <w:vAlign w:val="center"/>
          </w:tcPr>
          <w:p w14:paraId="7D3AADFB">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80" w:type="pct"/>
            <w:vAlign w:val="center"/>
          </w:tcPr>
          <w:p w14:paraId="0D38F67D">
            <w:pPr>
              <w:spacing w:after="50" w:line="360" w:lineRule="auto"/>
              <w:ind w:right="-10"/>
              <w:jc w:val="both"/>
              <w:rPr>
                <w:rFonts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bl>
    <w:p w14:paraId="27355E08">
      <w:pPr>
        <w:spacing w:line="360" w:lineRule="auto"/>
        <w:ind w:firstLine="435"/>
        <w:rPr>
          <w:rFonts w:asciiTheme="minorEastAsia" w:hAnsiTheme="minorEastAsia" w:eastAsiaTheme="minorEastAsia"/>
          <w:color w:val="auto"/>
          <w:sz w:val="24"/>
          <w:highlight w:val="none"/>
        </w:rPr>
      </w:pPr>
      <w:bookmarkStart w:id="40" w:name="_Hlk16461707"/>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bookmarkEnd w:id="40"/>
    <w:p w14:paraId="7770FF9F">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264377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475"/>
        <w:gridCol w:w="3656"/>
        <w:gridCol w:w="2937"/>
      </w:tblGrid>
      <w:tr w14:paraId="4258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D369439">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7E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74B212C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639B3A56">
            <w:pPr>
              <w:pStyle w:val="42"/>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29CEE087">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3" w:type="pct"/>
            <w:tcBorders>
              <w:bottom w:val="single" w:color="auto" w:sz="4" w:space="0"/>
            </w:tcBorders>
            <w:vAlign w:val="center"/>
          </w:tcPr>
          <w:p w14:paraId="4BA5F24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F22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53288F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6B921DA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4B257807">
            <w:pPr>
              <w:spacing w:after="50" w:line="360" w:lineRule="auto"/>
              <w:ind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eastAsia="zh-CN"/>
              </w:rPr>
              <w:t>公章</w:t>
            </w:r>
          </w:p>
        </w:tc>
        <w:tc>
          <w:tcPr>
            <w:tcW w:w="1473" w:type="pct"/>
            <w:vAlign w:val="center"/>
          </w:tcPr>
          <w:p w14:paraId="54B3D5B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444F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9" w:type="pct"/>
            <w:vAlign w:val="center"/>
          </w:tcPr>
          <w:p w14:paraId="71394A5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11BC748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2C4F8BD1">
            <w:pPr>
              <w:spacing w:after="50" w:line="360" w:lineRule="auto"/>
              <w:ind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eastAsia="zh-CN"/>
              </w:rPr>
              <w:t>公章</w:t>
            </w:r>
          </w:p>
        </w:tc>
        <w:tc>
          <w:tcPr>
            <w:tcW w:w="1473" w:type="pct"/>
            <w:vAlign w:val="center"/>
          </w:tcPr>
          <w:p w14:paraId="123D7142">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5575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2558999">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71C8D38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6A4DF46B">
            <w:pPr>
              <w:spacing w:after="50" w:line="360" w:lineRule="auto"/>
              <w:ind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eastAsia="zh-CN"/>
              </w:rPr>
              <w:t>公章</w:t>
            </w:r>
          </w:p>
        </w:tc>
        <w:tc>
          <w:tcPr>
            <w:tcW w:w="1473" w:type="pct"/>
            <w:vAlign w:val="center"/>
          </w:tcPr>
          <w:p w14:paraId="10BC7FC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70FA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CD14DE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4C39CD6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05386A6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3" w:type="pct"/>
            <w:vAlign w:val="center"/>
          </w:tcPr>
          <w:p w14:paraId="02C47557">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CF1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B6824B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788908B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14:paraId="3D2940D1">
            <w:pPr>
              <w:spacing w:after="50" w:line="360" w:lineRule="auto"/>
              <w:ind w:right="-1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473" w:type="pct"/>
            <w:vAlign w:val="center"/>
          </w:tcPr>
          <w:p w14:paraId="0BE20E89">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357D9A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58775A00">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2.3详细审查</w:t>
      </w:r>
    </w:p>
    <w:p w14:paraId="03D6393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76FEC62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分，其中：资信分值占总分值的权重为</w:t>
      </w:r>
      <w:r>
        <w:rPr>
          <w:rFonts w:hint="eastAsia" w:ascii="宋体" w:hAnsi="宋体" w:eastAsia="宋体"/>
          <w:color w:val="auto"/>
          <w:sz w:val="24"/>
          <w:highlight w:val="none"/>
          <w:u w:val="single"/>
          <w:lang w:val="en-US" w:eastAsia="zh-CN"/>
        </w:rPr>
        <w:t xml:space="preserve"> 20 </w:t>
      </w:r>
      <w:r>
        <w:rPr>
          <w:rFonts w:ascii="宋体" w:hAnsi="宋体" w:eastAsia="宋体"/>
          <w:color w:val="auto"/>
          <w:sz w:val="24"/>
          <w:highlight w:val="none"/>
        </w:rPr>
        <w:t>%，</w:t>
      </w:r>
      <w:r>
        <w:rPr>
          <w:rFonts w:hint="eastAsia" w:ascii="宋体" w:hAnsi="宋体" w:eastAsia="宋体"/>
          <w:color w:val="auto"/>
          <w:sz w:val="24"/>
          <w:highlight w:val="none"/>
        </w:rPr>
        <w:t>技术分值占总分值的权重为</w:t>
      </w:r>
      <w:r>
        <w:rPr>
          <w:rFonts w:hint="eastAsia" w:ascii="宋体" w:hAnsi="宋体" w:eastAsia="宋体"/>
          <w:color w:val="auto"/>
          <w:sz w:val="24"/>
          <w:highlight w:val="none"/>
          <w:u w:val="single"/>
          <w:lang w:val="en-US" w:eastAsia="zh-CN"/>
        </w:rPr>
        <w:t>30</w:t>
      </w:r>
      <w:r>
        <w:rPr>
          <w:rFonts w:ascii="宋体" w:hAnsi="宋体" w:eastAsia="宋体"/>
          <w:color w:val="auto"/>
          <w:sz w:val="24"/>
          <w:highlight w:val="none"/>
        </w:rPr>
        <w:t>%</w:t>
      </w:r>
      <w:r>
        <w:rPr>
          <w:rFonts w:hint="eastAsia" w:ascii="宋体" w:hAnsi="宋体" w:eastAsia="宋体"/>
          <w:color w:val="auto"/>
          <w:sz w:val="24"/>
          <w:highlight w:val="none"/>
          <w:lang w:eastAsia="zh-CN"/>
        </w:rPr>
        <w:t>，</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50</w:t>
      </w:r>
      <w:r>
        <w:rPr>
          <w:rFonts w:ascii="宋体" w:hAnsi="宋体" w:eastAsia="宋体"/>
          <w:color w:val="auto"/>
          <w:sz w:val="24"/>
          <w:highlight w:val="none"/>
        </w:rPr>
        <w:t>%。具体评分细则如下：</w:t>
      </w:r>
    </w:p>
    <w:tbl>
      <w:tblPr>
        <w:tblStyle w:val="24"/>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151"/>
        <w:gridCol w:w="5719"/>
        <w:gridCol w:w="1793"/>
      </w:tblGrid>
      <w:tr w14:paraId="2307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14:paraId="34E31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585" w:type="pct"/>
            <w:tcBorders>
              <w:top w:val="single" w:color="auto" w:sz="4" w:space="0"/>
              <w:left w:val="single" w:color="auto" w:sz="4" w:space="0"/>
              <w:bottom w:val="single" w:color="auto" w:sz="4" w:space="0"/>
              <w:right w:val="single" w:color="auto" w:sz="4" w:space="0"/>
            </w:tcBorders>
            <w:vAlign w:val="center"/>
          </w:tcPr>
          <w:p w14:paraId="63879F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2906" w:type="pct"/>
            <w:tcBorders>
              <w:top w:val="single" w:color="auto" w:sz="4" w:space="0"/>
              <w:left w:val="single" w:color="auto" w:sz="4" w:space="0"/>
              <w:bottom w:val="single" w:color="auto" w:sz="4" w:space="0"/>
              <w:right w:val="single" w:color="auto" w:sz="4" w:space="0"/>
            </w:tcBorders>
            <w:vAlign w:val="center"/>
          </w:tcPr>
          <w:p w14:paraId="1464B6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911" w:type="pct"/>
            <w:tcBorders>
              <w:top w:val="single" w:color="auto" w:sz="4" w:space="0"/>
              <w:left w:val="single" w:color="auto" w:sz="4" w:space="0"/>
              <w:bottom w:val="single" w:color="auto" w:sz="4" w:space="0"/>
              <w:right w:val="single" w:color="auto" w:sz="4" w:space="0"/>
            </w:tcBorders>
            <w:vAlign w:val="center"/>
          </w:tcPr>
          <w:p w14:paraId="70E0A4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分值范围</w:t>
            </w:r>
          </w:p>
        </w:tc>
      </w:tr>
      <w:tr w14:paraId="3A2B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tcBorders>
              <w:top w:val="single" w:color="auto" w:sz="4" w:space="0"/>
              <w:left w:val="single" w:color="auto" w:sz="4" w:space="0"/>
              <w:right w:val="single" w:color="auto" w:sz="4" w:space="0"/>
            </w:tcBorders>
            <w:vAlign w:val="center"/>
          </w:tcPr>
          <w:p w14:paraId="056127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资信分</w:t>
            </w:r>
          </w:p>
          <w:p w14:paraId="1F5E0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（20分）</w:t>
            </w:r>
          </w:p>
        </w:tc>
        <w:tc>
          <w:tcPr>
            <w:tcW w:w="585" w:type="pct"/>
            <w:tcBorders>
              <w:top w:val="single" w:color="auto" w:sz="4" w:space="0"/>
              <w:left w:val="single" w:color="auto" w:sz="4" w:space="0"/>
              <w:bottom w:val="single" w:color="auto" w:sz="4" w:space="0"/>
              <w:right w:val="single" w:color="auto" w:sz="4" w:space="0"/>
            </w:tcBorders>
            <w:vAlign w:val="center"/>
          </w:tcPr>
          <w:p w14:paraId="3BEB9BEB">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sz w:val="21"/>
                <w:szCs w:val="21"/>
              </w:rPr>
              <w:t>业绩</w:t>
            </w:r>
          </w:p>
        </w:tc>
        <w:tc>
          <w:tcPr>
            <w:tcW w:w="2906" w:type="pct"/>
            <w:tcBorders>
              <w:top w:val="single" w:color="auto" w:sz="4" w:space="0"/>
              <w:left w:val="single" w:color="auto" w:sz="4" w:space="0"/>
              <w:bottom w:val="single" w:color="auto" w:sz="4" w:space="0"/>
              <w:right w:val="single" w:color="auto" w:sz="4" w:space="0"/>
            </w:tcBorders>
            <w:vAlign w:val="center"/>
          </w:tcPr>
          <w:p w14:paraId="183B150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年1月1日以来投标人具有绿化养护服务业绩</w:t>
            </w:r>
            <w:r>
              <w:rPr>
                <w:rFonts w:hint="eastAsia" w:ascii="宋体" w:hAnsi="宋体" w:eastAsia="宋体" w:cs="宋体"/>
                <w:sz w:val="21"/>
                <w:szCs w:val="21"/>
                <w:lang w:eastAsia="zh-CN"/>
              </w:rPr>
              <w:t>的</w:t>
            </w:r>
            <w:r>
              <w:rPr>
                <w:rFonts w:hint="eastAsia" w:ascii="宋体" w:hAnsi="宋体" w:eastAsia="宋体" w:cs="宋体"/>
                <w:sz w:val="21"/>
                <w:szCs w:val="21"/>
              </w:rPr>
              <w:t>，每提供</w:t>
            </w:r>
            <w:r>
              <w:rPr>
                <w:rFonts w:hint="eastAsia" w:ascii="宋体" w:hAnsi="宋体" w:eastAsia="宋体" w:cs="宋体"/>
                <w:sz w:val="21"/>
                <w:szCs w:val="21"/>
                <w:lang w:val="en-US" w:eastAsia="zh-CN"/>
              </w:rPr>
              <w:t>1</w:t>
            </w:r>
            <w:r>
              <w:rPr>
                <w:rFonts w:hint="eastAsia" w:ascii="宋体" w:hAnsi="宋体" w:eastAsia="宋体" w:cs="宋体"/>
                <w:sz w:val="21"/>
                <w:szCs w:val="21"/>
              </w:rPr>
              <w:t>个业绩得</w:t>
            </w:r>
            <w:r>
              <w:rPr>
                <w:rFonts w:hint="eastAsia" w:ascii="宋体" w:hAnsi="宋体" w:eastAsia="宋体" w:cs="宋体"/>
                <w:sz w:val="21"/>
                <w:szCs w:val="21"/>
                <w:lang w:val="en-US" w:eastAsia="zh-CN"/>
              </w:rPr>
              <w:t>5</w:t>
            </w:r>
            <w:r>
              <w:rPr>
                <w:rFonts w:hint="eastAsia" w:ascii="宋体" w:hAnsi="宋体" w:eastAsia="宋体" w:cs="宋体"/>
                <w:sz w:val="21"/>
                <w:szCs w:val="21"/>
              </w:rPr>
              <w:t>分，满分</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14:paraId="1D98DFB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注：（1）投标文件中须提供合同复印件</w:t>
            </w:r>
            <w:r>
              <w:rPr>
                <w:rFonts w:hint="eastAsia" w:ascii="宋体" w:hAnsi="宋体" w:eastAsia="宋体" w:cs="宋体"/>
                <w:sz w:val="21"/>
                <w:szCs w:val="21"/>
                <w:lang w:val="en-US" w:eastAsia="zh-CN"/>
              </w:rPr>
              <w:t>加盖公章</w:t>
            </w:r>
            <w:r>
              <w:rPr>
                <w:rFonts w:hint="eastAsia" w:ascii="宋体" w:hAnsi="宋体" w:eastAsia="宋体" w:cs="宋体"/>
                <w:sz w:val="21"/>
                <w:szCs w:val="21"/>
              </w:rPr>
              <w:t>，</w:t>
            </w:r>
            <w:r>
              <w:rPr>
                <w:rFonts w:hint="eastAsia" w:ascii="宋体" w:hAnsi="宋体" w:eastAsia="宋体" w:cs="宋体"/>
                <w:sz w:val="21"/>
                <w:szCs w:val="21"/>
                <w:lang w:val="en-US" w:eastAsia="zh-CN"/>
              </w:rPr>
              <w:t>合同内容</w:t>
            </w:r>
            <w:r>
              <w:rPr>
                <w:rFonts w:hint="eastAsia" w:ascii="宋体" w:hAnsi="宋体" w:eastAsia="宋体" w:cs="宋体"/>
                <w:sz w:val="21"/>
                <w:szCs w:val="21"/>
              </w:rPr>
              <w:t>至少能反映合同内容、签订时间、签字盖章、施工或服务期限等内容的关键页面、附甲方联系人及号码,以备核查，否则不</w:t>
            </w:r>
            <w:r>
              <w:rPr>
                <w:rFonts w:hint="eastAsia" w:ascii="宋体" w:hAnsi="宋体" w:eastAsia="宋体" w:cs="宋体"/>
                <w:sz w:val="21"/>
                <w:szCs w:val="21"/>
                <w:lang w:val="en-US" w:eastAsia="zh-CN"/>
              </w:rPr>
              <w:t>得分</w:t>
            </w:r>
            <w:r>
              <w:rPr>
                <w:rFonts w:hint="eastAsia" w:ascii="宋体" w:hAnsi="宋体" w:eastAsia="宋体" w:cs="宋体"/>
                <w:sz w:val="21"/>
                <w:szCs w:val="21"/>
              </w:rPr>
              <w:t>。</w:t>
            </w:r>
          </w:p>
          <w:p w14:paraId="6BE84DF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rPr>
              <w:t>（2）日期以合同签订时间为准，无明确签订时间的不得分。</w:t>
            </w:r>
            <w:r>
              <w:rPr>
                <w:rFonts w:hint="eastAsia" w:ascii="宋体" w:hAnsi="宋体" w:eastAsia="宋体" w:cs="宋体"/>
                <w:sz w:val="21"/>
                <w:szCs w:val="21"/>
              </w:rPr>
              <w:br w:type="textWrapping"/>
            </w:r>
            <w:r>
              <w:rPr>
                <w:rFonts w:hint="eastAsia" w:ascii="宋体" w:hAnsi="宋体" w:eastAsia="宋体" w:cs="宋体"/>
                <w:sz w:val="21"/>
                <w:szCs w:val="21"/>
              </w:rPr>
              <w:t>（3）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且每个单位只允许提供1分业绩，不累计计算。</w:t>
            </w:r>
          </w:p>
        </w:tc>
        <w:tc>
          <w:tcPr>
            <w:tcW w:w="911" w:type="pct"/>
            <w:tcBorders>
              <w:top w:val="single" w:color="auto" w:sz="4" w:space="0"/>
              <w:left w:val="single" w:color="auto" w:sz="4" w:space="0"/>
              <w:bottom w:val="single" w:color="auto" w:sz="4" w:space="0"/>
              <w:right w:val="single" w:color="auto" w:sz="4" w:space="0"/>
            </w:tcBorders>
            <w:vAlign w:val="center"/>
          </w:tcPr>
          <w:p w14:paraId="4FA850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6D9D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97" w:type="pct"/>
            <w:vMerge w:val="continue"/>
            <w:tcBorders>
              <w:left w:val="single" w:color="auto" w:sz="4" w:space="0"/>
              <w:right w:val="single" w:color="auto" w:sz="4" w:space="0"/>
            </w:tcBorders>
            <w:vAlign w:val="center"/>
          </w:tcPr>
          <w:p w14:paraId="2107AF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p>
        </w:tc>
        <w:tc>
          <w:tcPr>
            <w:tcW w:w="585" w:type="pct"/>
            <w:tcBorders>
              <w:top w:val="single" w:color="auto" w:sz="4" w:space="0"/>
              <w:left w:val="single" w:color="auto" w:sz="4" w:space="0"/>
              <w:bottom w:val="single" w:color="auto" w:sz="4" w:space="0"/>
              <w:right w:val="single" w:color="auto" w:sz="4" w:space="0"/>
            </w:tcBorders>
            <w:vAlign w:val="center"/>
          </w:tcPr>
          <w:p w14:paraId="39CCB4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人员配置</w:t>
            </w:r>
          </w:p>
        </w:tc>
        <w:tc>
          <w:tcPr>
            <w:tcW w:w="2906" w:type="pct"/>
            <w:tcBorders>
              <w:top w:val="single" w:color="auto" w:sz="4" w:space="0"/>
              <w:left w:val="single" w:color="auto" w:sz="4" w:space="0"/>
              <w:right w:val="single" w:color="auto" w:sz="4" w:space="0"/>
            </w:tcBorders>
            <w:vAlign w:val="center"/>
          </w:tcPr>
          <w:p w14:paraId="34F5030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本项目的项目负责人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1人</w:t>
            </w:r>
            <w:r>
              <w:rPr>
                <w:rFonts w:hint="eastAsia" w:ascii="宋体" w:hAnsi="宋体" w:eastAsia="宋体" w:cs="宋体"/>
                <w:sz w:val="21"/>
                <w:szCs w:val="21"/>
                <w:lang w:eastAsia="zh-CN"/>
              </w:rPr>
              <w:t>）</w:t>
            </w:r>
            <w:r>
              <w:rPr>
                <w:rFonts w:hint="eastAsia" w:ascii="宋体" w:hAnsi="宋体" w:eastAsia="宋体" w:cs="宋体"/>
                <w:sz w:val="21"/>
                <w:szCs w:val="21"/>
              </w:rPr>
              <w:t>具有园林绿化专业中级及以上职称证书或园林绿化专业高级技术等级证书的得10分，本项满分10分。</w:t>
            </w:r>
          </w:p>
          <w:p w14:paraId="26028ED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注：投标文件中须提供证书复印件并加盖公章</w:t>
            </w:r>
            <w:r>
              <w:rPr>
                <w:rFonts w:hint="eastAsia" w:ascii="宋体" w:hAnsi="宋体" w:eastAsia="宋体" w:cs="宋体"/>
                <w:sz w:val="21"/>
                <w:szCs w:val="21"/>
                <w:lang w:eastAsia="zh-CN"/>
              </w:rPr>
              <w:t>。</w:t>
            </w:r>
          </w:p>
        </w:tc>
        <w:tc>
          <w:tcPr>
            <w:tcW w:w="911" w:type="pct"/>
            <w:tcBorders>
              <w:top w:val="single" w:color="auto" w:sz="4" w:space="0"/>
              <w:left w:val="single" w:color="auto" w:sz="4" w:space="0"/>
              <w:right w:val="single" w:color="auto" w:sz="4" w:space="0"/>
            </w:tcBorders>
            <w:vAlign w:val="center"/>
          </w:tcPr>
          <w:p w14:paraId="2D1E05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7F63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restart"/>
            <w:tcBorders>
              <w:left w:val="single" w:color="auto" w:sz="4" w:space="0"/>
              <w:right w:val="single" w:color="auto" w:sz="4" w:space="0"/>
            </w:tcBorders>
            <w:vAlign w:val="center"/>
          </w:tcPr>
          <w:p w14:paraId="3038CC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技术分</w:t>
            </w:r>
          </w:p>
          <w:p w14:paraId="11DDAD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（30 分）</w:t>
            </w:r>
          </w:p>
        </w:tc>
        <w:tc>
          <w:tcPr>
            <w:tcW w:w="585" w:type="pct"/>
            <w:tcBorders>
              <w:top w:val="single" w:color="auto" w:sz="4" w:space="0"/>
              <w:left w:val="single" w:color="auto" w:sz="4" w:space="0"/>
              <w:bottom w:val="single" w:color="auto" w:sz="4" w:space="0"/>
              <w:right w:val="single" w:color="auto" w:sz="4" w:space="0"/>
            </w:tcBorders>
            <w:vAlign w:val="center"/>
          </w:tcPr>
          <w:p w14:paraId="2D01C53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sz w:val="21"/>
                <w:szCs w:val="21"/>
              </w:rPr>
              <w:t>养护服务方案</w:t>
            </w:r>
          </w:p>
        </w:tc>
        <w:tc>
          <w:tcPr>
            <w:tcW w:w="2906" w:type="pct"/>
            <w:tcBorders>
              <w:top w:val="single" w:color="auto" w:sz="4" w:space="0"/>
              <w:left w:val="single" w:color="auto" w:sz="4" w:space="0"/>
              <w:bottom w:val="single" w:color="auto" w:sz="4" w:space="0"/>
              <w:right w:val="single" w:color="auto" w:sz="4" w:space="0"/>
            </w:tcBorders>
            <w:vAlign w:val="center"/>
          </w:tcPr>
          <w:p w14:paraId="3BDC890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投标人针对本项目编制绿化养护服务方案，根据投标方绿化养护服务方案（包括施肥、修剪、除杂草、养护等情况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评审委员会根据投标单位提供的养护方案进行横向综合评审：</w:t>
            </w:r>
          </w:p>
          <w:p w14:paraId="799BCD7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（1）所制定的服务方案能充分结合季节变化和项目现状，计划周密，措施有效，内容详细、完整，能够完全满足采购人对服务水平和规范管理的要求，并结合自身经验，给出完善、细致的合理化建议的，得10 分； </w:t>
            </w:r>
          </w:p>
          <w:p w14:paraId="1711DF2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（2）所制定的服务方案能结合季节变化和项目现状，计划合理，能满足采购人对服务水平和规范管理的要求，并结合自身经验，给出相应合理化建议的，得7分； </w:t>
            </w:r>
          </w:p>
          <w:p w14:paraId="3588F94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（3）对本项目的理解与认识不到位或内容有缺失，仍需进一步完善的，得4分； </w:t>
            </w:r>
          </w:p>
          <w:p w14:paraId="7C50E5A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（4）未提供不得分。</w:t>
            </w:r>
          </w:p>
        </w:tc>
        <w:tc>
          <w:tcPr>
            <w:tcW w:w="911" w:type="pct"/>
            <w:tcBorders>
              <w:top w:val="single" w:color="auto" w:sz="4" w:space="0"/>
              <w:left w:val="single" w:color="auto" w:sz="4" w:space="0"/>
              <w:bottom w:val="single" w:color="auto" w:sz="4" w:space="0"/>
              <w:right w:val="single" w:color="auto" w:sz="4" w:space="0"/>
            </w:tcBorders>
            <w:vAlign w:val="center"/>
          </w:tcPr>
          <w:p w14:paraId="3D25A3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31AE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left w:val="single" w:color="auto" w:sz="4" w:space="0"/>
              <w:right w:val="single" w:color="auto" w:sz="4" w:space="0"/>
            </w:tcBorders>
            <w:vAlign w:val="center"/>
          </w:tcPr>
          <w:p w14:paraId="29A84A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p>
        </w:tc>
        <w:tc>
          <w:tcPr>
            <w:tcW w:w="585" w:type="pct"/>
            <w:tcBorders>
              <w:top w:val="single" w:color="auto" w:sz="4" w:space="0"/>
              <w:left w:val="single" w:color="auto" w:sz="4" w:space="0"/>
              <w:bottom w:val="single" w:color="auto" w:sz="4" w:space="0"/>
              <w:right w:val="single" w:color="auto" w:sz="4" w:space="0"/>
            </w:tcBorders>
            <w:vAlign w:val="center"/>
          </w:tcPr>
          <w:p w14:paraId="6253B22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安全作业方案</w:t>
            </w:r>
          </w:p>
        </w:tc>
        <w:tc>
          <w:tcPr>
            <w:tcW w:w="2906" w:type="pct"/>
            <w:tcBorders>
              <w:top w:val="single" w:color="auto" w:sz="4" w:space="0"/>
              <w:left w:val="single" w:color="auto" w:sz="4" w:space="0"/>
              <w:bottom w:val="single" w:color="auto" w:sz="4" w:space="0"/>
              <w:right w:val="single" w:color="auto" w:sz="4" w:space="0"/>
            </w:tcBorders>
            <w:vAlign w:val="center"/>
          </w:tcPr>
          <w:p w14:paraId="3070028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针对本项目现场实际情况结合本项目特点，对日常运营和管养作业过程制定合理。方案需至少体现以下内容：①道路作业的安全保障措施，②日常养护中的噪音管理措施，③日常养护的人员服装等规范性措施。 </w:t>
            </w:r>
          </w:p>
          <w:p w14:paraId="102EAC1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（1）内容完整详实，表述清晰的得10分； </w:t>
            </w:r>
          </w:p>
          <w:p w14:paraId="6C7DA04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（2）内容覆盖全面，内容完整详实，表述适当的得7分； </w:t>
            </w:r>
          </w:p>
          <w:p w14:paraId="6A9792A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（3）内容有待完善，要点突出不够明显，具体细节有待完善的得4分； </w:t>
            </w:r>
          </w:p>
          <w:p w14:paraId="7736438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（4）未提供相应内容的不得分</w:t>
            </w:r>
          </w:p>
        </w:tc>
        <w:tc>
          <w:tcPr>
            <w:tcW w:w="911" w:type="pct"/>
            <w:tcBorders>
              <w:top w:val="single" w:color="auto" w:sz="4" w:space="0"/>
              <w:left w:val="single" w:color="auto" w:sz="4" w:space="0"/>
              <w:bottom w:val="single" w:color="auto" w:sz="4" w:space="0"/>
              <w:right w:val="single" w:color="auto" w:sz="4" w:space="0"/>
            </w:tcBorders>
            <w:vAlign w:val="center"/>
          </w:tcPr>
          <w:p w14:paraId="40F5AD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0AED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vMerge w:val="continue"/>
            <w:tcBorders>
              <w:left w:val="single" w:color="auto" w:sz="4" w:space="0"/>
              <w:right w:val="single" w:color="auto" w:sz="4" w:space="0"/>
            </w:tcBorders>
            <w:vAlign w:val="center"/>
          </w:tcPr>
          <w:p w14:paraId="5D8868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p>
        </w:tc>
        <w:tc>
          <w:tcPr>
            <w:tcW w:w="585" w:type="pct"/>
            <w:tcBorders>
              <w:top w:val="single" w:color="auto" w:sz="4" w:space="0"/>
              <w:left w:val="single" w:color="auto" w:sz="4" w:space="0"/>
              <w:bottom w:val="single" w:color="auto" w:sz="4" w:space="0"/>
              <w:right w:val="single" w:color="auto" w:sz="4" w:space="0"/>
            </w:tcBorders>
            <w:vAlign w:val="center"/>
          </w:tcPr>
          <w:p w14:paraId="0D52C3B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苗木补植 </w:t>
            </w:r>
          </w:p>
          <w:p w14:paraId="26BA9F9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补栽方案</w:t>
            </w:r>
          </w:p>
          <w:p w14:paraId="2ED0FDF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u w:val="none"/>
                <w:lang w:val="en-US" w:eastAsia="zh-CN"/>
              </w:rPr>
            </w:pPr>
          </w:p>
        </w:tc>
        <w:tc>
          <w:tcPr>
            <w:tcW w:w="2906" w:type="pct"/>
            <w:tcBorders>
              <w:top w:val="single" w:color="auto" w:sz="4" w:space="0"/>
              <w:left w:val="single" w:color="auto" w:sz="4" w:space="0"/>
              <w:bottom w:val="single" w:color="auto" w:sz="4" w:space="0"/>
              <w:right w:val="single" w:color="auto" w:sz="4" w:space="0"/>
            </w:tcBorders>
            <w:vAlign w:val="center"/>
          </w:tcPr>
          <w:p w14:paraId="4A2173E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根据各投标人提供的针对本项目实际情况，制定苗木补植补栽方案进行评审：方案需至少体现以下内容：养护期内胸径 15cm 以上苗木、造型树及特选树缺失和枯死补植实施方案。 </w:t>
            </w:r>
          </w:p>
          <w:p w14:paraId="28B65A0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（1）内容详实完整，准确且合理的得10分； </w:t>
            </w:r>
          </w:p>
          <w:p w14:paraId="66373D6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（2）内容完整，贴合项目实际需求的得7分； </w:t>
            </w:r>
          </w:p>
          <w:p w14:paraId="20C9129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（3）内容粗糙，逻辑不合理，有待提高的得4分； </w:t>
            </w:r>
          </w:p>
          <w:p w14:paraId="6B3ECDE0">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（4）未提供的不得分。</w:t>
            </w:r>
          </w:p>
        </w:tc>
        <w:tc>
          <w:tcPr>
            <w:tcW w:w="911" w:type="pct"/>
            <w:tcBorders>
              <w:top w:val="single" w:color="auto" w:sz="4" w:space="0"/>
              <w:left w:val="single" w:color="auto" w:sz="4" w:space="0"/>
              <w:bottom w:val="single" w:color="auto" w:sz="4" w:space="0"/>
              <w:right w:val="single" w:color="auto" w:sz="4" w:space="0"/>
            </w:tcBorders>
            <w:vAlign w:val="center"/>
          </w:tcPr>
          <w:p w14:paraId="5F5D40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20CD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tcBorders>
              <w:left w:val="single" w:color="auto" w:sz="4" w:space="0"/>
              <w:right w:val="single" w:color="auto" w:sz="4" w:space="0"/>
            </w:tcBorders>
            <w:vAlign w:val="center"/>
          </w:tcPr>
          <w:p w14:paraId="28FF68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价格分</w:t>
            </w:r>
          </w:p>
          <w:p w14:paraId="11839E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（50分）</w:t>
            </w:r>
          </w:p>
        </w:tc>
        <w:tc>
          <w:tcPr>
            <w:tcW w:w="4402" w:type="pct"/>
            <w:gridSpan w:val="3"/>
            <w:tcBorders>
              <w:top w:val="single" w:color="auto" w:sz="4" w:space="0"/>
              <w:left w:val="single" w:color="auto" w:sz="4" w:space="0"/>
              <w:bottom w:val="single" w:color="auto" w:sz="4" w:space="0"/>
              <w:right w:val="single" w:color="auto" w:sz="4" w:space="0"/>
            </w:tcBorders>
            <w:vAlign w:val="center"/>
          </w:tcPr>
          <w:p w14:paraId="0CBA31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分。其他投标人的价格分统一按照下列公式计算：</w:t>
            </w:r>
          </w:p>
          <w:p w14:paraId="5892C7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％×100</w:t>
            </w:r>
          </w:p>
        </w:tc>
      </w:tr>
    </w:tbl>
    <w:p w14:paraId="2378DD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42D2D6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132DE200">
      <w:pPr>
        <w:spacing w:line="360" w:lineRule="auto"/>
        <w:ind w:firstLine="435"/>
        <w:rPr>
          <w:rFonts w:hint="eastAsia" w:ascii="宋体" w:hAnsi="宋体" w:eastAsia="宋体" w:cs="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p>
    <w:p w14:paraId="28D099A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7AE30EC">
      <w:pPr>
        <w:spacing w:line="360" w:lineRule="auto"/>
        <w:jc w:val="center"/>
        <w:outlineLvl w:val="0"/>
        <w:rPr>
          <w:rFonts w:hint="eastAsia" w:ascii="宋体" w:hAnsi="宋体" w:eastAsia="宋体" w:cs="宋体"/>
          <w:b/>
          <w:color w:val="auto"/>
          <w:sz w:val="28"/>
          <w:highlight w:val="none"/>
          <w:lang w:eastAsia="zh-CN"/>
        </w:rPr>
      </w:pPr>
      <w:bookmarkStart w:id="41" w:name="_Toc20405"/>
      <w:r>
        <w:rPr>
          <w:rFonts w:hint="eastAsia" w:ascii="宋体" w:hAnsi="宋体" w:eastAsia="宋体" w:cs="宋体"/>
          <w:b/>
          <w:color w:val="auto"/>
          <w:sz w:val="28"/>
          <w:highlight w:val="none"/>
        </w:rPr>
        <w:t>第五章  政府采购合同</w:t>
      </w:r>
      <w:bookmarkEnd w:id="41"/>
    </w:p>
    <w:p w14:paraId="38D0BAEB">
      <w:pPr>
        <w:spacing w:line="480" w:lineRule="auto"/>
        <w:jc w:val="center"/>
        <w:outlineLvl w:val="9"/>
        <w:rPr>
          <w:rFonts w:hint="eastAsia" w:ascii="宋体" w:hAnsi="宋体" w:eastAsia="宋体" w:cs="宋体"/>
          <w:b/>
          <w:color w:val="000000" w:themeColor="text1"/>
          <w:sz w:val="28"/>
          <w:szCs w:val="28"/>
          <w14:textFill>
            <w14:solidFill>
              <w14:schemeClr w14:val="tx1"/>
            </w14:solidFill>
          </w14:textFill>
        </w:rPr>
      </w:pPr>
      <w:bookmarkStart w:id="42" w:name="_Toc331685784"/>
    </w:p>
    <w:p w14:paraId="0B68B5B0">
      <w:pPr>
        <w:spacing w:line="480" w:lineRule="auto"/>
        <w:jc w:val="center"/>
        <w:outlineLvl w:val="9"/>
        <w:rPr>
          <w:rFonts w:hint="eastAsia" w:ascii="宋体" w:hAnsi="宋体" w:eastAsia="宋体" w:cs="宋体"/>
          <w:b/>
          <w:color w:val="000000" w:themeColor="text1"/>
          <w:sz w:val="28"/>
          <w:szCs w:val="28"/>
          <w14:textFill>
            <w14:solidFill>
              <w14:schemeClr w14:val="tx1"/>
            </w14:solidFill>
          </w14:textFill>
        </w:rPr>
      </w:pPr>
    </w:p>
    <w:p w14:paraId="30076205">
      <w:pPr>
        <w:pStyle w:val="8"/>
        <w:rPr>
          <w:rFonts w:hint="eastAsia" w:ascii="宋体" w:hAnsi="宋体" w:eastAsia="宋体" w:cs="宋体"/>
        </w:rPr>
      </w:pPr>
    </w:p>
    <w:p w14:paraId="32E72933">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0950B54A">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36D0A562">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4508A790">
      <w:pPr>
        <w:spacing w:line="360" w:lineRule="auto"/>
        <w:jc w:val="center"/>
        <w:outlineLvl w:val="1"/>
        <w:rPr>
          <w:rFonts w:hint="eastAsia" w:ascii="宋体" w:hAnsi="宋体" w:eastAsia="宋体" w:cs="宋体"/>
          <w:b/>
          <w:color w:val="000000" w:themeColor="text1"/>
          <w:sz w:val="24"/>
          <w14:textFill>
            <w14:solidFill>
              <w14:schemeClr w14:val="tx1"/>
            </w14:solidFill>
          </w14:textFill>
        </w:rPr>
      </w:pPr>
      <w:bookmarkStart w:id="43" w:name="_Toc2449"/>
      <w:r>
        <w:rPr>
          <w:rFonts w:hint="eastAsia" w:ascii="宋体" w:hAnsi="宋体" w:eastAsia="宋体" w:cs="宋体"/>
          <w:b/>
          <w:color w:val="000000" w:themeColor="text1"/>
          <w:sz w:val="24"/>
          <w14:textFill>
            <w14:solidFill>
              <w14:schemeClr w14:val="tx1"/>
            </w14:solidFill>
          </w14:textFill>
        </w:rPr>
        <w:t>第一部分 合同书</w:t>
      </w:r>
      <w:bookmarkEnd w:id="43"/>
    </w:p>
    <w:p w14:paraId="7066EA80">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37689E19">
      <w:pPr>
        <w:spacing w:line="480" w:lineRule="auto"/>
        <w:jc w:val="center"/>
        <w:rPr>
          <w:rFonts w:hint="eastAsia" w:ascii="宋体" w:hAnsi="宋体" w:eastAsia="宋体" w:cs="宋体"/>
          <w:b/>
          <w:color w:val="000000" w:themeColor="text1"/>
          <w:sz w:val="24"/>
          <w:szCs w:val="24"/>
          <w14:textFill>
            <w14:solidFill>
              <w14:schemeClr w14:val="tx1"/>
            </w14:solidFill>
          </w14:textFill>
        </w:rPr>
      </w:pPr>
    </w:p>
    <w:p w14:paraId="27A42263">
      <w:pPr>
        <w:pStyle w:val="8"/>
        <w:rPr>
          <w:rFonts w:hint="eastAsia" w:ascii="宋体" w:hAnsi="宋体" w:eastAsia="宋体" w:cs="宋体"/>
        </w:rPr>
      </w:pPr>
    </w:p>
    <w:p w14:paraId="025755D8">
      <w:pPr>
        <w:pStyle w:val="8"/>
        <w:rPr>
          <w:rFonts w:hint="eastAsia" w:ascii="宋体" w:hAnsi="宋体" w:eastAsia="宋体" w:cs="宋体"/>
        </w:rPr>
      </w:pPr>
    </w:p>
    <w:p w14:paraId="50A21CB2">
      <w:pPr>
        <w:spacing w:before="120" w:line="480" w:lineRule="auto"/>
        <w:ind w:left="960"/>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eastAsia="zh-CN"/>
          <w14:textFill>
            <w14:solidFill>
              <w14:schemeClr w14:val="tx1"/>
            </w14:solidFill>
          </w14:textFill>
        </w:rPr>
        <w:t>滁州市第二人民医院绿化养护项目</w:t>
      </w:r>
    </w:p>
    <w:p w14:paraId="6D1117A6">
      <w:pPr>
        <w:spacing w:before="120" w:line="480" w:lineRule="auto"/>
        <w:ind w:left="96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u w:val="single"/>
          <w:lang w:eastAsia="zh-CN"/>
          <w14:textFill>
            <w14:solidFill>
              <w14:schemeClr w14:val="tx1"/>
            </w14:solidFill>
          </w14:textFill>
        </w:rPr>
        <w:t>CZEY-2025002</w:t>
      </w:r>
    </w:p>
    <w:p w14:paraId="5B79187A">
      <w:pPr>
        <w:spacing w:before="120" w:line="480" w:lineRule="auto"/>
        <w:ind w:left="960"/>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甲方（采购人）</w:t>
      </w:r>
      <w:r>
        <w:rPr>
          <w:rFonts w:hint="eastAsia" w:ascii="宋体" w:hAnsi="宋体" w:eastAsia="宋体" w:cs="宋体"/>
          <w:color w:val="000000" w:themeColor="text1"/>
          <w:sz w:val="24"/>
          <w:szCs w:val="24"/>
          <w:u w:val="single"/>
          <w:lang w:eastAsia="zh-CN"/>
          <w14:textFill>
            <w14:solidFill>
              <w14:schemeClr w14:val="tx1"/>
            </w14:solidFill>
          </w14:textFill>
        </w:rPr>
        <w:t>滁州市第二人民医院（市传染病医院、市精神病医院）</w:t>
      </w:r>
    </w:p>
    <w:p w14:paraId="2B2689D7">
      <w:pPr>
        <w:spacing w:before="120" w:line="480" w:lineRule="auto"/>
        <w:ind w:left="96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乙方（中标人）：</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12BCBF9">
      <w:pPr>
        <w:spacing w:before="120" w:line="480" w:lineRule="auto"/>
        <w:ind w:firstLine="960" w:firstLineChars="4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签订地：</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7295741B">
      <w:pPr>
        <w:spacing w:before="120" w:line="480" w:lineRule="auto"/>
        <w:ind w:firstLine="960" w:firstLineChars="4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6D60025B">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bookmarkEnd w:id="42"/>
    <w:p w14:paraId="0D63E7AA">
      <w:pPr>
        <w:spacing w:line="360" w:lineRule="auto"/>
        <w:ind w:firstLine="435"/>
        <w:rPr>
          <w:rFonts w:asciiTheme="minorEastAsia" w:hAnsiTheme="minorEastAsia" w:eastAsiaTheme="minorEastAsia"/>
          <w:color w:val="000000" w:themeColor="text1"/>
          <w:sz w:val="24"/>
          <w:highlight w:val="none"/>
          <w14:textFill>
            <w14:solidFill>
              <w14:schemeClr w14:val="tx1"/>
            </w14:solidFill>
          </w14:textFill>
        </w:rPr>
      </w:pPr>
      <w:bookmarkStart w:id="44" w:name="_Toc13555"/>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滁州市第二人民医院（市传染病医院、市精神病医院）</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以下简称：甲方</w:t>
      </w:r>
      <w:r>
        <w:rPr>
          <w:rFonts w:hint="eastAsia" w:asciiTheme="minorEastAsia" w:hAnsiTheme="minorEastAsia" w:eastAsiaTheme="minorEastAsia"/>
          <w:color w:val="000000" w:themeColor="text1"/>
          <w:sz w:val="24"/>
          <w:highlight w:val="none"/>
          <w14:textFill>
            <w14:solidFill>
              <w14:schemeClr w14:val="tx1"/>
            </w14:solidFill>
          </w14:textFill>
        </w:rPr>
        <w:t>）通过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江苏川页工程项目管理有限公司</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组织的</w:t>
      </w:r>
      <w:r>
        <w:rPr>
          <w:rFonts w:hint="eastAsia" w:asciiTheme="minorEastAsia" w:hAnsiTheme="minorEastAsia" w:eastAsiaTheme="minorEastAsia"/>
          <w:color w:val="000000" w:themeColor="text1"/>
          <w:sz w:val="24"/>
          <w:highlight w:val="none"/>
          <w:u w:val="single"/>
          <w14:textFill>
            <w14:solidFill>
              <w14:schemeClr w14:val="tx1"/>
            </w14:solidFill>
          </w14:textFill>
        </w:rPr>
        <w:t>公开招标</w:t>
      </w:r>
      <w:r>
        <w:rPr>
          <w:rFonts w:hint="eastAsia" w:asciiTheme="minorEastAsia" w:hAnsiTheme="minorEastAsia" w:eastAsiaTheme="minorEastAsia"/>
          <w:color w:val="000000" w:themeColor="text1"/>
          <w:sz w:val="24"/>
          <w:highlight w:val="none"/>
          <w14:textFill>
            <w14:solidFill>
              <w14:schemeClr w14:val="tx1"/>
            </w14:solidFill>
          </w14:textFill>
        </w:rPr>
        <w:t>方式采购活动，经</w:t>
      </w:r>
      <w:r>
        <w:rPr>
          <w:rFonts w:hint="eastAsia" w:asciiTheme="minorEastAsia" w:hAnsiTheme="minorEastAsia" w:eastAsiaTheme="minorEastAsia"/>
          <w:color w:val="000000" w:themeColor="text1"/>
          <w:sz w:val="24"/>
          <w:highlight w:val="none"/>
          <w:u w:val="single"/>
          <w14:textFill>
            <w14:solidFill>
              <w14:schemeClr w14:val="tx1"/>
            </w14:solidFill>
          </w14:textFill>
        </w:rPr>
        <w:t>评标委员会</w:t>
      </w:r>
      <w:r>
        <w:rPr>
          <w:rFonts w:hint="eastAsia" w:asciiTheme="minorEastAsia" w:hAnsiTheme="minorEastAsia" w:eastAsiaTheme="minorEastAsia"/>
          <w:color w:val="000000" w:themeColor="text1"/>
          <w:sz w:val="24"/>
          <w:highlight w:val="none"/>
          <w14:textFill>
            <w14:solidFill>
              <w14:schemeClr w14:val="tx1"/>
            </w14:solidFill>
          </w14:textFill>
        </w:rPr>
        <w:t>评定，</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以下简称：乙方</w:t>
      </w:r>
      <w:r>
        <w:rPr>
          <w:rFonts w:hint="eastAsia" w:asciiTheme="minorEastAsia" w:hAnsiTheme="minorEastAsia" w:eastAsiaTheme="minorEastAsia"/>
          <w:color w:val="000000" w:themeColor="text1"/>
          <w:sz w:val="24"/>
          <w:highlight w:val="none"/>
          <w14:textFill>
            <w14:solidFill>
              <w14:schemeClr w14:val="tx1"/>
            </w14:solidFill>
          </w14:textFill>
        </w:rPr>
        <w:t>）为本项目中标人，现</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按照采购文件确定的事项签订本合同。</w:t>
      </w:r>
    </w:p>
    <w:p w14:paraId="21777D16">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7BA2E99B">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45" w:name="_Toc3029"/>
      <w:bookmarkStart w:id="46" w:name="_Toc24059"/>
      <w:bookmarkStart w:id="47" w:name="_Toc223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合同组成部分</w:t>
      </w:r>
      <w:bookmarkEnd w:id="45"/>
      <w:bookmarkEnd w:id="46"/>
      <w:bookmarkEnd w:id="47"/>
    </w:p>
    <w:p w14:paraId="3F4BE2DA">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027A6416">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1.1.1本合同及其补充合同、变更协议；</w:t>
      </w:r>
    </w:p>
    <w:p w14:paraId="3B331BEF">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1.1.2中标通知书；</w:t>
      </w:r>
    </w:p>
    <w:p w14:paraId="36E96A3A">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1.1.3投标文件（含澄清或者说明文件）；</w:t>
      </w:r>
    </w:p>
    <w:p w14:paraId="6469409F">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1.1.4招标文件（含澄清或者修改文件）；</w:t>
      </w:r>
    </w:p>
    <w:p w14:paraId="250D7A32">
      <w:pPr>
        <w:spacing w:line="360" w:lineRule="auto"/>
        <w:ind w:firstLine="435"/>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1.1.5其他相关采购文件。</w:t>
      </w:r>
    </w:p>
    <w:p w14:paraId="546786B7">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48" w:name="_Toc18585"/>
      <w:bookmarkStart w:id="49" w:name="_Toc22185"/>
      <w:bookmarkStart w:id="50" w:name="_Toc6773"/>
      <w:bookmarkStart w:id="51" w:name="_Toc6311"/>
      <w:bookmarkStart w:id="52" w:name="_Toc2918"/>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1.2 </w:t>
      </w:r>
      <w:bookmarkEnd w:id="48"/>
      <w:bookmarkEnd w:id="49"/>
      <w:bookmarkEnd w:id="50"/>
      <w:bookmarkEnd w:id="51"/>
      <w:bookmarkEnd w:id="5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p>
    <w:p w14:paraId="068445B0">
      <w:pPr>
        <w:spacing w:line="360" w:lineRule="auto"/>
        <w:ind w:firstLine="435"/>
        <w:rPr>
          <w:rFonts w:hint="default" w:cs="Times New Roman" w:asciiTheme="minorEastAsia" w:hAnsiTheme="minorEastAsia" w:eastAsiaTheme="minorEastAsia"/>
          <w:color w:val="000000" w:themeColor="text1"/>
          <w:sz w:val="24"/>
          <w:szCs w:val="24"/>
          <w:highlight w:val="none"/>
          <w:u w:val="single"/>
          <w:lang w:val="en-US"/>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1.2.1服务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名称：</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滁州市第二人民医院绿化养护项目</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 xml:space="preserve"> </w:t>
      </w:r>
    </w:p>
    <w:p w14:paraId="76E0F206">
      <w:pPr>
        <w:spacing w:line="360" w:lineRule="auto"/>
        <w:ind w:firstLine="435"/>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1.2.2服务内容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招标文件采购需求全部内容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8C3CDEA">
      <w:pPr>
        <w:spacing w:line="360" w:lineRule="auto"/>
        <w:ind w:firstLine="435"/>
        <w:rPr>
          <w:rFonts w:cs="Times New Roman" w:asciiTheme="minorEastAsia" w:hAnsiTheme="minorEastAsia" w:eastAsiaTheme="minorEastAsia"/>
          <w:color w:val="0000FF"/>
          <w:sz w:val="24"/>
          <w:szCs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合格，满足采购人要求</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7AF8FA6">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3" w:name="_Toc23292"/>
      <w:bookmarkStart w:id="54" w:name="_Toc21631"/>
      <w:bookmarkStart w:id="55" w:name="_Toc2155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价款</w:t>
      </w:r>
      <w:bookmarkEnd w:id="53"/>
      <w:bookmarkEnd w:id="54"/>
      <w:bookmarkEnd w:id="55"/>
    </w:p>
    <w:p w14:paraId="07CE3BC4">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本合同总价为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38E91387">
      <w:pPr>
        <w:spacing w:line="360" w:lineRule="auto"/>
        <w:ind w:firstLine="435"/>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分项价格：</w:t>
      </w:r>
    </w:p>
    <w:tbl>
      <w:tblPr>
        <w:tblStyle w:val="24"/>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13"/>
      </w:tblGrid>
      <w:tr w14:paraId="7BDB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57" w:type="dxa"/>
            <w:vAlign w:val="center"/>
          </w:tcPr>
          <w:p w14:paraId="32BC84A1">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序号</w:t>
            </w:r>
          </w:p>
        </w:tc>
        <w:tc>
          <w:tcPr>
            <w:tcW w:w="4316" w:type="dxa"/>
            <w:vAlign w:val="center"/>
          </w:tcPr>
          <w:p w14:paraId="2AE0C8D0">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分项名称</w:t>
            </w:r>
          </w:p>
        </w:tc>
        <w:tc>
          <w:tcPr>
            <w:tcW w:w="3225" w:type="dxa"/>
            <w:gridSpan w:val="2"/>
            <w:vAlign w:val="center"/>
          </w:tcPr>
          <w:p w14:paraId="4DF2737A">
            <w:pPr>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分项价格</w:t>
            </w:r>
          </w:p>
        </w:tc>
      </w:tr>
      <w:tr w14:paraId="027E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45CE83D4">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w:t>
            </w:r>
          </w:p>
        </w:tc>
        <w:tc>
          <w:tcPr>
            <w:tcW w:w="4316" w:type="dxa"/>
            <w:vAlign w:val="center"/>
          </w:tcPr>
          <w:p w14:paraId="0ABA884C">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537FD6AB">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701D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957" w:type="dxa"/>
          </w:tcPr>
          <w:p w14:paraId="6FAA8F4F">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2</w:t>
            </w:r>
          </w:p>
        </w:tc>
        <w:tc>
          <w:tcPr>
            <w:tcW w:w="4316" w:type="dxa"/>
            <w:vAlign w:val="center"/>
          </w:tcPr>
          <w:p w14:paraId="098CE1FF">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1C2CE9CB">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68C4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57" w:type="dxa"/>
          </w:tcPr>
          <w:p w14:paraId="1ADD79A0">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3</w:t>
            </w:r>
          </w:p>
        </w:tc>
        <w:tc>
          <w:tcPr>
            <w:tcW w:w="4316" w:type="dxa"/>
            <w:vAlign w:val="center"/>
          </w:tcPr>
          <w:p w14:paraId="7D940BEB">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6824830E">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415B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57" w:type="dxa"/>
          </w:tcPr>
          <w:p w14:paraId="02AFAE16">
            <w:pPr>
              <w:jc w:val="cente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w:t>
            </w:r>
          </w:p>
        </w:tc>
        <w:tc>
          <w:tcPr>
            <w:tcW w:w="4316" w:type="dxa"/>
            <w:vAlign w:val="center"/>
          </w:tcPr>
          <w:p w14:paraId="04E1C9EE">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3225" w:type="dxa"/>
            <w:gridSpan w:val="2"/>
            <w:vAlign w:val="center"/>
          </w:tcPr>
          <w:p w14:paraId="5DC25ADF">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2480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19F1B1C1">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总价</w:t>
            </w:r>
          </w:p>
        </w:tc>
        <w:tc>
          <w:tcPr>
            <w:tcW w:w="3213" w:type="dxa"/>
            <w:vAlign w:val="center"/>
          </w:tcPr>
          <w:p w14:paraId="2EB02F50">
            <w:pPr>
              <w:ind w:firstLine="200"/>
              <w:jc w:val="center"/>
              <w:rPr>
                <w:rFonts w:cs="Times New Roman" w:asciiTheme="minorEastAsia" w:hAnsiTheme="minorEastAsia" w:eastAsiaTheme="minorEastAsia"/>
                <w:color w:val="000000" w:themeColor="text1"/>
                <w:sz w:val="24"/>
                <w:szCs w:val="24"/>
                <w:highlight w:val="none"/>
                <w14:textFill>
                  <w14:solidFill>
                    <w14:schemeClr w14:val="tx1"/>
                  </w14:solidFill>
                </w14:textFill>
              </w:rPr>
            </w:pPr>
          </w:p>
        </w:tc>
      </w:tr>
    </w:tbl>
    <w:p w14:paraId="36D354D5">
      <w:pPr>
        <w:spacing w:line="360" w:lineRule="auto"/>
        <w:ind w:firstLine="437"/>
        <w:outlineLvl w:val="2"/>
        <w:rPr>
          <w:rFonts w:cs="Times New Roman" w:asciiTheme="minorEastAsia" w:hAnsiTheme="minorEastAsia" w:eastAsiaTheme="minorEastAsia"/>
          <w:b/>
          <w:bCs/>
          <w:color w:val="auto"/>
          <w:sz w:val="24"/>
          <w:szCs w:val="24"/>
          <w:highlight w:val="none"/>
          <w:lang w:val="zh-CN"/>
        </w:rPr>
      </w:pPr>
      <w:bookmarkStart w:id="56" w:name="_Toc22618"/>
      <w:bookmarkStart w:id="57" w:name="_Toc1814"/>
      <w:bookmarkStart w:id="58" w:name="_Toc10340"/>
      <w:r>
        <w:rPr>
          <w:rFonts w:hint="eastAsia" w:cs="Times New Roman" w:asciiTheme="minorEastAsia" w:hAnsiTheme="minorEastAsia" w:eastAsiaTheme="minorEastAsia"/>
          <w:b/>
          <w:bCs/>
          <w:color w:val="auto"/>
          <w:sz w:val="24"/>
          <w:szCs w:val="24"/>
          <w:highlight w:val="none"/>
          <w:lang w:val="zh-CN"/>
        </w:rPr>
        <w:t>1.</w:t>
      </w:r>
      <w:r>
        <w:rPr>
          <w:rFonts w:cs="Times New Roman" w:asciiTheme="minorEastAsia" w:hAnsiTheme="minorEastAsia" w:eastAsiaTheme="minorEastAsia"/>
          <w:b/>
          <w:bCs/>
          <w:color w:val="auto"/>
          <w:sz w:val="24"/>
          <w:szCs w:val="24"/>
          <w:highlight w:val="none"/>
          <w:lang w:val="zh-CN"/>
        </w:rPr>
        <w:t>4 付款方式和发票开具方式</w:t>
      </w:r>
      <w:bookmarkEnd w:id="56"/>
      <w:bookmarkEnd w:id="57"/>
      <w:bookmarkEnd w:id="58"/>
    </w:p>
    <w:p w14:paraId="05DB2347">
      <w:pPr>
        <w:spacing w:line="360" w:lineRule="auto"/>
        <w:ind w:firstLine="435"/>
        <w:rPr>
          <w:rFonts w:hint="eastAsia" w:cs="Times New Roman" w:asciiTheme="minorEastAsia" w:hAnsiTheme="minorEastAsia" w:eastAsiaTheme="minorEastAsia"/>
          <w:color w:val="auto"/>
          <w:sz w:val="24"/>
          <w:szCs w:val="24"/>
          <w:highlight w:val="yellow"/>
          <w:lang w:eastAsia="zh-CN"/>
        </w:rPr>
      </w:pPr>
      <w:r>
        <w:rPr>
          <w:rFonts w:hint="eastAsia" w:cs="Times New Roman" w:asciiTheme="minorEastAsia" w:hAnsiTheme="minorEastAsia" w:eastAsiaTheme="minorEastAsia"/>
          <w:color w:val="auto"/>
          <w:sz w:val="24"/>
          <w:szCs w:val="24"/>
          <w:highlight w:val="yellow"/>
        </w:rPr>
        <w:t>1.4.1</w:t>
      </w:r>
      <w:r>
        <w:rPr>
          <w:rFonts w:cs="Times New Roman" w:asciiTheme="minorEastAsia" w:hAnsiTheme="minorEastAsia" w:eastAsiaTheme="minorEastAsia"/>
          <w:color w:val="auto"/>
          <w:sz w:val="24"/>
          <w:szCs w:val="24"/>
          <w:highlight w:val="yellow"/>
        </w:rPr>
        <w:t>付款方式：</w:t>
      </w:r>
    </w:p>
    <w:p w14:paraId="0F9FBF5F">
      <w:pPr>
        <w:spacing w:line="360" w:lineRule="auto"/>
        <w:ind w:firstLine="435"/>
        <w:rPr>
          <w:rFonts w:hint="eastAsia" w:ascii="宋体" w:hAnsi="宋体" w:eastAsia="宋体" w:cs="宋体"/>
          <w:b w:val="0"/>
          <w:color w:val="auto"/>
          <w:sz w:val="24"/>
          <w:highlight w:val="yellow"/>
          <w:u w:val="none"/>
          <w:lang w:val="en-US" w:eastAsia="zh-CN"/>
        </w:rPr>
      </w:pPr>
    </w:p>
    <w:p w14:paraId="7386B6DD">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1.4.2发票开具方式：</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3922B7E">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59" w:name="_Toc2846"/>
      <w:bookmarkStart w:id="60" w:name="_Toc32071"/>
      <w:bookmarkStart w:id="61" w:name="_Toc1930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、地点和方式</w:t>
      </w:r>
      <w:bookmarkEnd w:id="59"/>
      <w:bookmarkEnd w:id="60"/>
      <w:bookmarkEnd w:id="61"/>
    </w:p>
    <w:p w14:paraId="27DD4EA2">
      <w:pPr>
        <w:spacing w:line="360" w:lineRule="auto"/>
        <w:ind w:firstLine="435"/>
        <w:jc w:val="left"/>
        <w:rPr>
          <w:rFonts w:hint="default" w:cs="Times New Roman" w:asciiTheme="minorEastAsia" w:hAnsiTheme="minorEastAsia" w:eastAsiaTheme="minorEastAsia"/>
          <w:color w:val="auto"/>
          <w:sz w:val="24"/>
          <w:szCs w:val="24"/>
          <w:highlight w:val="none"/>
          <w:u w:val="single"/>
          <w:lang w:val="en-US" w:eastAsia="zh-CN"/>
        </w:rPr>
      </w:pPr>
      <w:r>
        <w:rPr>
          <w:rFonts w:hint="eastAsia" w:cs="Times New Roman" w:asciiTheme="minorEastAsia" w:hAnsiTheme="minorEastAsia" w:eastAsiaTheme="minorEastAsia"/>
          <w:color w:val="auto"/>
          <w:sz w:val="24"/>
          <w:szCs w:val="24"/>
          <w:highlight w:val="none"/>
        </w:rPr>
        <w:t>1.5.1服务期限</w:t>
      </w:r>
      <w:r>
        <w:rPr>
          <w:rFonts w:cs="Times New Roman" w:asciiTheme="minorEastAsia" w:hAnsiTheme="minorEastAsia" w:eastAsiaTheme="minorEastAsia"/>
          <w:color w:val="auto"/>
          <w:sz w:val="24"/>
          <w:szCs w:val="24"/>
          <w:highlight w:val="none"/>
        </w:rPr>
        <w:t>：</w:t>
      </w:r>
      <w:r>
        <w:rPr>
          <w:rFonts w:hint="eastAsia" w:cs="Times New Roman" w:asciiTheme="minorEastAsia" w:hAnsiTheme="minorEastAsia" w:eastAsiaTheme="minorEastAsia"/>
          <w:color w:val="000000" w:themeColor="text1"/>
          <w:sz w:val="24"/>
          <w:szCs w:val="24"/>
          <w:highlight w:val="yellow"/>
          <w:u w:val="single"/>
          <w:lang w:val="en-US" w:eastAsia="zh-CN"/>
          <w14:textFill>
            <w14:solidFill>
              <w14:schemeClr w14:val="tx1"/>
            </w14:solidFill>
          </w14:textFill>
        </w:rPr>
        <w:t>本项目合同养护期三年，合同一年一签，具体时间以签订合同时间为准。</w:t>
      </w:r>
      <w:r>
        <w:rPr>
          <w:rFonts w:hint="eastAsia" w:cs="Times New Roman" w:asciiTheme="minorEastAsia" w:hAnsiTheme="minorEastAsia" w:eastAsiaTheme="minorEastAsia"/>
          <w:color w:val="auto"/>
          <w:sz w:val="24"/>
          <w:szCs w:val="24"/>
          <w:highlight w:val="none"/>
          <w:u w:val="single"/>
          <w:lang w:val="en-US" w:eastAsia="zh-CN"/>
        </w:rPr>
        <w:t xml:space="preserve">  </w:t>
      </w:r>
    </w:p>
    <w:p w14:paraId="50080293">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1.5.2服务地点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滁州市第二人民医院</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099C53A">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甲方指定方式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ABCC21F">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62" w:name="_Toc19554"/>
      <w:bookmarkStart w:id="63" w:name="_Toc21423"/>
      <w:bookmarkStart w:id="64" w:name="_Toc2725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1.6 违约责任</w:t>
      </w:r>
      <w:bookmarkEnd w:id="62"/>
      <w:bookmarkEnd w:id="63"/>
      <w:bookmarkEnd w:id="64"/>
    </w:p>
    <w:p w14:paraId="533A5DF3">
      <w:pPr>
        <w:spacing w:line="360" w:lineRule="auto"/>
        <w:ind w:firstLine="435"/>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1.6.1</w:t>
      </w:r>
      <w:r>
        <w:rPr>
          <w:rFonts w:cs="Times New Roman" w:asciiTheme="minorEastAsia" w:hAnsiTheme="minorEastAsia" w:eastAsiaTheme="minorEastAsia"/>
          <w:color w:val="000000" w:themeColor="text1"/>
          <w:sz w:val="24"/>
          <w:szCs w:val="24"/>
          <w14:textFill>
            <w14:solidFill>
              <w14:schemeClr w14:val="tx1"/>
            </w14:solidFill>
          </w14:textFill>
        </w:rPr>
        <w:t>除不可抗力外，如果乙方没有按照本合同约定的期限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地点和方式</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，甲方可要求乙方支付违约金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违约金按每迟延</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一日的应提供而未</w:t>
      </w:r>
      <w:r>
        <w:rPr>
          <w:rFonts w:hint="eastAsia" w:cs="Times New Roman" w:asciiTheme="minorEastAsia" w:hAnsiTheme="minorEastAsia" w:eastAsiaTheme="minorEastAsia"/>
          <w:color w:val="000000" w:themeColor="text1"/>
          <w:sz w:val="24"/>
          <w:szCs w:val="24"/>
          <w14:textFill>
            <w14:solidFill>
              <w14:schemeClr w14:val="tx1"/>
            </w14:solidFill>
          </w14:textFill>
        </w:rPr>
        <w:t>提</w:t>
      </w:r>
      <w:r>
        <w:rPr>
          <w:rFonts w:hint="eastAsia" w:cs="Times New Roman" w:asciiTheme="minorEastAsia" w:hAnsiTheme="minorEastAsia" w:eastAsiaTheme="minorEastAsia"/>
          <w:color w:val="auto"/>
          <w:sz w:val="24"/>
          <w:szCs w:val="24"/>
        </w:rPr>
        <w:t>供</w:t>
      </w:r>
      <w:r>
        <w:rPr>
          <w:rFonts w:cs="Times New Roman" w:asciiTheme="minorEastAsia" w:hAnsiTheme="minorEastAsia" w:eastAsiaTheme="minorEastAsia"/>
          <w:color w:val="auto"/>
          <w:sz w:val="24"/>
          <w:szCs w:val="24"/>
        </w:rPr>
        <w:t>服务价格的</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1</w:t>
      </w:r>
      <w:r>
        <w:rPr>
          <w:rFonts w:hint="eastAsia" w:cs="Times New Roman" w:asciiTheme="minorEastAsia" w:hAnsiTheme="minorEastAsia" w:eastAsiaTheme="minorEastAsia"/>
          <w:color w:val="auto"/>
          <w:sz w:val="24"/>
          <w:szCs w:val="24"/>
          <w:u w:val="single"/>
        </w:rPr>
        <w:t xml:space="preserve">  </w:t>
      </w:r>
      <w:r>
        <w:rPr>
          <w:rFonts w:cs="Times New Roman" w:asciiTheme="minorEastAsia" w:hAnsiTheme="minorEastAsia" w:eastAsiaTheme="minorEastAsia"/>
          <w:color w:val="auto"/>
          <w:sz w:val="24"/>
          <w:szCs w:val="24"/>
        </w:rPr>
        <w:t>%计算</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最高限额为</w:t>
      </w:r>
      <w:r>
        <w:rPr>
          <w:rFonts w:hint="eastAsia" w:cs="Times New Roman" w:asciiTheme="minorEastAsia" w:hAnsiTheme="minorEastAsia" w:eastAsiaTheme="minorEastAsia"/>
          <w:color w:val="auto"/>
          <w:sz w:val="24"/>
          <w:szCs w:val="24"/>
        </w:rPr>
        <w:t>本</w:t>
      </w:r>
      <w:r>
        <w:rPr>
          <w:rFonts w:cs="Times New Roman" w:asciiTheme="minorEastAsia" w:hAnsiTheme="minorEastAsia" w:eastAsiaTheme="minorEastAsia"/>
          <w:color w:val="auto"/>
          <w:sz w:val="24"/>
          <w:szCs w:val="24"/>
        </w:rPr>
        <w:t>合同总价的</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10</w:t>
      </w:r>
      <w:r>
        <w:rPr>
          <w:rFonts w:hint="eastAsia" w:cs="Times New Roman" w:asciiTheme="minorEastAsia" w:hAnsiTheme="minorEastAsia" w:eastAsiaTheme="minorEastAsia"/>
          <w:color w:val="auto"/>
          <w:sz w:val="24"/>
          <w:szCs w:val="24"/>
          <w:u w:val="single"/>
        </w:rPr>
        <w:t xml:space="preserve">  </w:t>
      </w:r>
      <w:r>
        <w:rPr>
          <w:rFonts w:cs="Times New Roman" w:asciiTheme="minorEastAsia" w:hAnsiTheme="minorEastAsia" w:eastAsiaTheme="minorEastAsia"/>
          <w:color w:val="auto"/>
          <w:sz w:val="24"/>
          <w:szCs w:val="24"/>
        </w:rPr>
        <w:t>%</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迟延</w:t>
      </w:r>
      <w:r>
        <w:rPr>
          <w:rFonts w:hint="eastAsia" w:cs="Times New Roman" w:asciiTheme="minorEastAsia" w:hAnsiTheme="minorEastAsia" w:eastAsiaTheme="minorEastAsia"/>
          <w:color w:val="auto"/>
          <w:sz w:val="24"/>
          <w:szCs w:val="24"/>
        </w:rPr>
        <w:t>履行</w:t>
      </w:r>
      <w:r>
        <w:rPr>
          <w:rFonts w:cs="Times New Roman" w:asciiTheme="minorEastAsia" w:hAnsiTheme="minorEastAsia" w:eastAsiaTheme="minorEastAsia"/>
          <w:color w:val="auto"/>
          <w:sz w:val="24"/>
          <w:szCs w:val="24"/>
        </w:rPr>
        <w:t>的违约金计算数额达到前述最高限额之日起</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甲方有权在要求乙方支付违约金的同时</w:t>
      </w:r>
      <w:r>
        <w:rPr>
          <w:rFonts w:hint="eastAsia" w:cs="Times New Roman" w:asciiTheme="minorEastAsia" w:hAnsiTheme="minorEastAsia" w:eastAsiaTheme="minorEastAsia"/>
          <w:color w:val="auto"/>
          <w:sz w:val="24"/>
          <w:szCs w:val="24"/>
        </w:rPr>
        <w:t>，书面通知乙方</w:t>
      </w:r>
      <w:r>
        <w:rPr>
          <w:rFonts w:cs="Times New Roman" w:asciiTheme="minorEastAsia" w:hAnsiTheme="minorEastAsia" w:eastAsiaTheme="minorEastAsia"/>
          <w:color w:val="auto"/>
          <w:sz w:val="24"/>
          <w:szCs w:val="24"/>
        </w:rPr>
        <w:t>解除本合同</w:t>
      </w:r>
      <w:r>
        <w:rPr>
          <w:rFonts w:hint="eastAsia" w:cs="Times New Roman" w:asciiTheme="minorEastAsia" w:hAnsiTheme="minorEastAsia" w:eastAsiaTheme="minorEastAsia"/>
          <w:color w:val="auto"/>
          <w:sz w:val="24"/>
          <w:szCs w:val="24"/>
        </w:rPr>
        <w:t>；</w:t>
      </w:r>
    </w:p>
    <w:p w14:paraId="070B82EA">
      <w:pPr>
        <w:spacing w:line="360" w:lineRule="auto"/>
        <w:ind w:firstLine="435"/>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1.6.2</w:t>
      </w:r>
      <w:r>
        <w:rPr>
          <w:rFonts w:cs="Times New Roman" w:asciiTheme="minorEastAsia" w:hAnsiTheme="minorEastAsia" w:eastAsiaTheme="minorEastAsia"/>
          <w:color w:val="auto"/>
          <w:sz w:val="24"/>
          <w:szCs w:val="24"/>
        </w:rPr>
        <w:t>除不可抗力外，如果甲方没有按照本合同约定的付款方式付款，那么乙方可要求甲方支付违约金</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违约金按每迟延</w:t>
      </w:r>
      <w:r>
        <w:rPr>
          <w:rFonts w:hint="eastAsia" w:cs="Times New Roman" w:asciiTheme="minorEastAsia" w:hAnsiTheme="minorEastAsia" w:eastAsiaTheme="minorEastAsia"/>
          <w:color w:val="auto"/>
          <w:sz w:val="24"/>
          <w:szCs w:val="24"/>
        </w:rPr>
        <w:t>付款</w:t>
      </w:r>
      <w:r>
        <w:rPr>
          <w:rFonts w:cs="Times New Roman" w:asciiTheme="minorEastAsia" w:hAnsiTheme="minorEastAsia" w:eastAsiaTheme="minorEastAsia"/>
          <w:color w:val="auto"/>
          <w:sz w:val="24"/>
          <w:szCs w:val="24"/>
        </w:rPr>
        <w:t>一日的应付而未付款的</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1</w:t>
      </w:r>
      <w:r>
        <w:rPr>
          <w:rFonts w:hint="eastAsia" w:cs="Times New Roman" w:asciiTheme="minorEastAsia" w:hAnsiTheme="minorEastAsia" w:eastAsiaTheme="minorEastAsia"/>
          <w:color w:val="auto"/>
          <w:sz w:val="24"/>
          <w:szCs w:val="24"/>
          <w:u w:val="single"/>
        </w:rPr>
        <w:t xml:space="preserve">  </w:t>
      </w:r>
      <w:r>
        <w:rPr>
          <w:rFonts w:cs="Times New Roman" w:asciiTheme="minorEastAsia" w:hAnsiTheme="minorEastAsia" w:eastAsiaTheme="minorEastAsia"/>
          <w:color w:val="auto"/>
          <w:sz w:val="24"/>
          <w:szCs w:val="24"/>
        </w:rPr>
        <w:t>%计算</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最高限额为</w:t>
      </w:r>
      <w:r>
        <w:rPr>
          <w:rFonts w:hint="eastAsia" w:cs="Times New Roman" w:asciiTheme="minorEastAsia" w:hAnsiTheme="minorEastAsia" w:eastAsiaTheme="minorEastAsia"/>
          <w:color w:val="auto"/>
          <w:sz w:val="24"/>
          <w:szCs w:val="24"/>
        </w:rPr>
        <w:t>本</w:t>
      </w:r>
      <w:r>
        <w:rPr>
          <w:rFonts w:cs="Times New Roman" w:asciiTheme="minorEastAsia" w:hAnsiTheme="minorEastAsia" w:eastAsiaTheme="minorEastAsia"/>
          <w:color w:val="auto"/>
          <w:sz w:val="24"/>
          <w:szCs w:val="24"/>
        </w:rPr>
        <w:t>合同总价的</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10</w:t>
      </w:r>
      <w:r>
        <w:rPr>
          <w:rFonts w:hint="eastAsia" w:cs="Times New Roman" w:asciiTheme="minorEastAsia" w:hAnsiTheme="minorEastAsia" w:eastAsiaTheme="minorEastAsia"/>
          <w:color w:val="auto"/>
          <w:sz w:val="24"/>
          <w:szCs w:val="24"/>
          <w:u w:val="single"/>
        </w:rPr>
        <w:t xml:space="preserve">   </w:t>
      </w:r>
      <w:r>
        <w:rPr>
          <w:rFonts w:cs="Times New Roman" w:asciiTheme="minorEastAsia" w:hAnsiTheme="minorEastAsia" w:eastAsiaTheme="minorEastAsia"/>
          <w:color w:val="auto"/>
          <w:sz w:val="24"/>
          <w:szCs w:val="24"/>
        </w:rPr>
        <w:t>%</w:t>
      </w:r>
      <w:r>
        <w:rPr>
          <w:rFonts w:hint="eastAsia" w:cs="Times New Roman" w:asciiTheme="minorEastAsia" w:hAnsiTheme="minorEastAsia" w:eastAsiaTheme="minorEastAsia"/>
          <w:color w:val="auto"/>
          <w:sz w:val="24"/>
          <w:szCs w:val="24"/>
        </w:rPr>
        <w:t>；</w:t>
      </w:r>
      <w:r>
        <w:rPr>
          <w:rFonts w:cs="Times New Roman" w:asciiTheme="minorEastAsia" w:hAnsiTheme="minorEastAsia" w:eastAsiaTheme="minorEastAsia"/>
          <w:color w:val="auto"/>
          <w:sz w:val="24"/>
          <w:szCs w:val="24"/>
        </w:rPr>
        <w:t>迟延</w:t>
      </w:r>
      <w:r>
        <w:rPr>
          <w:rFonts w:hint="eastAsia" w:cs="Times New Roman" w:asciiTheme="minorEastAsia" w:hAnsiTheme="minorEastAsia" w:eastAsiaTheme="minorEastAsia"/>
          <w:color w:val="auto"/>
          <w:sz w:val="24"/>
          <w:szCs w:val="24"/>
        </w:rPr>
        <w:t>付款</w:t>
      </w:r>
      <w:r>
        <w:rPr>
          <w:rFonts w:cs="Times New Roman" w:asciiTheme="minorEastAsia" w:hAnsiTheme="minorEastAsia" w:eastAsiaTheme="minorEastAsia"/>
          <w:color w:val="auto"/>
          <w:sz w:val="24"/>
          <w:szCs w:val="24"/>
        </w:rPr>
        <w:t>的违约金计算数额达到前述最高限额之日起</w:t>
      </w:r>
      <w:r>
        <w:rPr>
          <w:rFonts w:hint="eastAsia" w:cs="Times New Roman" w:asciiTheme="minorEastAsia" w:hAnsiTheme="minorEastAsia" w:eastAsiaTheme="minorEastAsia"/>
          <w:color w:val="auto"/>
          <w:sz w:val="24"/>
          <w:szCs w:val="24"/>
        </w:rPr>
        <w:t>，乙</w:t>
      </w:r>
      <w:r>
        <w:rPr>
          <w:rFonts w:cs="Times New Roman" w:asciiTheme="minorEastAsia" w:hAnsiTheme="minorEastAsia" w:eastAsiaTheme="minorEastAsia"/>
          <w:color w:val="auto"/>
          <w:sz w:val="24"/>
          <w:szCs w:val="24"/>
        </w:rPr>
        <w:t>方有权在要求甲方支付违约金的同时</w:t>
      </w:r>
      <w:r>
        <w:rPr>
          <w:rFonts w:hint="eastAsia" w:cs="Times New Roman" w:asciiTheme="minorEastAsia" w:hAnsiTheme="minorEastAsia" w:eastAsiaTheme="minorEastAsia"/>
          <w:color w:val="auto"/>
          <w:sz w:val="24"/>
          <w:szCs w:val="24"/>
        </w:rPr>
        <w:t>，书面通知甲方</w:t>
      </w:r>
      <w:r>
        <w:rPr>
          <w:rFonts w:cs="Times New Roman" w:asciiTheme="minorEastAsia" w:hAnsiTheme="minorEastAsia" w:eastAsiaTheme="minorEastAsia"/>
          <w:color w:val="auto"/>
          <w:sz w:val="24"/>
          <w:szCs w:val="24"/>
        </w:rPr>
        <w:t>解除本合同</w:t>
      </w:r>
      <w:r>
        <w:rPr>
          <w:rFonts w:hint="eastAsia" w:cs="Times New Roman" w:asciiTheme="minorEastAsia" w:hAnsiTheme="minorEastAsia" w:eastAsiaTheme="minorEastAsia"/>
          <w:color w:val="auto"/>
          <w:sz w:val="24"/>
          <w:szCs w:val="24"/>
        </w:rPr>
        <w:t>；</w:t>
      </w:r>
    </w:p>
    <w:p w14:paraId="32D3B36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125E1D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0083C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32AE52F">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形，均不视为甲方违约。</w:t>
      </w:r>
    </w:p>
    <w:p w14:paraId="70EB9892">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59DB69CC">
      <w:pPr>
        <w:spacing w:line="360" w:lineRule="auto"/>
        <w:ind w:firstLine="437"/>
        <w:outlineLvl w:val="2"/>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5" w:name="_Toc16021"/>
      <w:bookmarkStart w:id="66" w:name="_Toc15583"/>
      <w:bookmarkStart w:id="67" w:name="_Toc2837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争议的解决</w:t>
      </w:r>
      <w:bookmarkEnd w:id="65"/>
      <w:bookmarkEnd w:id="66"/>
      <w:bookmarkEnd w:id="67"/>
    </w:p>
    <w:p w14:paraId="668F858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本合</w:t>
      </w:r>
      <w:r>
        <w:rPr>
          <w:rFonts w:cs="Times New Roman" w:asciiTheme="minorEastAsia" w:hAnsiTheme="minorEastAsia" w:eastAsiaTheme="minorEastAsia"/>
          <w:color w:val="000000" w:themeColor="text1"/>
          <w:sz w:val="24"/>
          <w:szCs w:val="24"/>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种方式解决：</w:t>
      </w:r>
    </w:p>
    <w:p w14:paraId="522A93D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1.7.1将争议提交</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滁州</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仲裁委员会依申请仲裁时其现行有效的仲裁规则裁决；</w:t>
      </w:r>
    </w:p>
    <w:p w14:paraId="7B16FD6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1.7.2向</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u w:val="single"/>
          <w:lang w:val="en-US" w:eastAsia="zh-CN"/>
          <w14:textFill>
            <w14:solidFill>
              <w14:schemeClr w14:val="tx1"/>
            </w14:solidFill>
          </w14:textFill>
        </w:rPr>
        <w:t>滁州市</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人民法院起诉。</w:t>
      </w:r>
    </w:p>
    <w:p w14:paraId="158CAFE8">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68" w:name="_Toc15322"/>
      <w:bookmarkStart w:id="69" w:name="_Toc11173"/>
      <w:bookmarkStart w:id="70" w:name="_Toc724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合同生效</w:t>
      </w:r>
      <w:bookmarkEnd w:id="68"/>
      <w:bookmarkEnd w:id="69"/>
      <w:bookmarkEnd w:id="70"/>
    </w:p>
    <w:p w14:paraId="61DC675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14:textFill>
            <w14:solidFill>
              <w14:schemeClr w14:val="tx1"/>
            </w14:solidFill>
          </w14:textFill>
        </w:rPr>
        <w:t>生效。</w:t>
      </w:r>
    </w:p>
    <w:p w14:paraId="2C593DCB">
      <w:pPr>
        <w:autoSpaceDE w:val="0"/>
        <w:autoSpaceDN w:val="0"/>
        <w:adjustRightInd w:val="0"/>
        <w:spacing w:line="560" w:lineRule="exact"/>
        <w:rPr>
          <w:rFonts w:cs="Times New Roman" w:asciiTheme="minorEastAsia" w:hAnsiTheme="minorEastAsia" w:eastAsiaTheme="minorEastAsia"/>
          <w:bCs/>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u w:val="single"/>
          <w:lang w:val="zh-CN"/>
          <w14:textFill>
            <w14:solidFill>
              <w14:schemeClr w14:val="tx1"/>
            </w14:solidFill>
          </w14:textFill>
        </w:rPr>
        <w:t xml:space="preserve">    （单位盖章）     </w:t>
      </w:r>
    </w:p>
    <w:p w14:paraId="3A9BF5FE">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 xml:space="preserve">法定代表人                             </w:t>
      </w:r>
      <w:r>
        <w:rPr>
          <w:rFonts w:cs="Times New Roman" w:asciiTheme="minorEastAsia" w:hAnsiTheme="minorEastAsia" w:eastAsiaTheme="minorEastAsia"/>
          <w:color w:val="000000" w:themeColor="text1"/>
          <w:sz w:val="24"/>
          <w:szCs w:val="24"/>
          <w:lang w:val="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法定代表人</w:t>
      </w:r>
    </w:p>
    <w:p w14:paraId="50835466">
      <w:pPr>
        <w:autoSpaceDE w:val="0"/>
        <w:autoSpaceDN w:val="0"/>
        <w:adjustRightInd w:val="0"/>
        <w:spacing w:line="560" w:lineRule="exact"/>
        <w:rPr>
          <w:rFonts w:cs="Times New Roman" w:asciiTheme="minorEastAsia" w:hAnsiTheme="minorEastAsia" w:eastAsiaTheme="minorEastAsia"/>
          <w:color w:val="000000" w:themeColor="text1"/>
          <w:sz w:val="24"/>
          <w:szCs w:val="24"/>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zh-CN"/>
          <w14:textFill>
            <w14:solidFill>
              <w14:schemeClr w14:val="tx1"/>
            </w14:solidFill>
          </w14:textFill>
        </w:rPr>
        <w:t>或授权代表（签字）：                      或授权代表（签字）：</w:t>
      </w:r>
    </w:p>
    <w:p w14:paraId="332D4CD3">
      <w:pPr>
        <w:widowControl/>
        <w:spacing w:line="560" w:lineRule="exact"/>
        <w:jc w:val="left"/>
        <w:rPr>
          <w:rFonts w:cs="Times New Roman" w:asciiTheme="minorEastAsia" w:hAnsiTheme="minorEastAsia" w:eastAsiaTheme="minorEastAsia"/>
          <w:bCs/>
          <w:color w:val="000000" w:themeColor="text1"/>
          <w:sz w:val="24"/>
          <w:szCs w:val="24"/>
          <w14:textFill>
            <w14:solidFill>
              <w14:schemeClr w14:val="tx1"/>
            </w14:solidFill>
          </w14:textFill>
        </w:rPr>
      </w:pPr>
      <w:bookmarkStart w:id="71" w:name="_Toc331685783"/>
      <w:r>
        <w:rPr>
          <w:rFonts w:hint="eastAsia" w:cs="Times New Roman" w:asciiTheme="minorEastAsia" w:hAnsiTheme="minorEastAsia" w:eastAsiaTheme="minorEastAsia"/>
          <w:bCs/>
          <w:color w:val="000000" w:themeColor="text1"/>
          <w:sz w:val="24"/>
          <w:szCs w:val="24"/>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14:textFill>
            <w14:solidFill>
              <w14:schemeClr w14:val="tx1"/>
            </w14:solidFill>
          </w14:textFill>
        </w:rPr>
        <w:t>日</w:t>
      </w:r>
    </w:p>
    <w:p w14:paraId="1A672657">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w:t>
      </w:r>
      <w:bookmarkStart w:id="72" w:name="_Hlk110099149"/>
      <w:r>
        <w:rPr>
          <w:rFonts w:hint="eastAsia" w:ascii="宋体" w:hAnsi="宋体" w:eastAsia="宋体"/>
          <w:color w:val="000000" w:themeColor="text1"/>
          <w:sz w:val="24"/>
          <w:szCs w:val="24"/>
          <w14:textFill>
            <w14:solidFill>
              <w14:schemeClr w14:val="tx1"/>
            </w14:solidFill>
          </w14:textFill>
        </w:rPr>
        <w:t>乙方账户信息</w:t>
      </w:r>
    </w:p>
    <w:p w14:paraId="02371704">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 户名：</w:t>
      </w:r>
      <w:r>
        <w:rPr>
          <w:rFonts w:hint="eastAsia" w:ascii="宋体" w:hAnsi="宋体" w:eastAsia="宋体"/>
          <w:color w:val="000000" w:themeColor="text1"/>
          <w:sz w:val="24"/>
          <w:szCs w:val="24"/>
          <w:u w:val="single"/>
          <w14:textFill>
            <w14:solidFill>
              <w14:schemeClr w14:val="tx1"/>
            </w14:solidFill>
          </w14:textFill>
        </w:rPr>
        <w:t xml:space="preserve">            </w:t>
      </w:r>
    </w:p>
    <w:p w14:paraId="3B87CF24">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账号：</w:t>
      </w:r>
      <w:r>
        <w:rPr>
          <w:rFonts w:hint="eastAsia" w:ascii="宋体" w:hAnsi="宋体" w:eastAsia="宋体"/>
          <w:color w:val="000000" w:themeColor="text1"/>
          <w:sz w:val="24"/>
          <w:szCs w:val="24"/>
          <w:u w:val="single"/>
          <w14:textFill>
            <w14:solidFill>
              <w14:schemeClr w14:val="tx1"/>
            </w14:solidFill>
          </w14:textFill>
        </w:rPr>
        <w:t xml:space="preserve">            </w:t>
      </w:r>
    </w:p>
    <w:p w14:paraId="5C08D482">
      <w:pPr>
        <w:spacing w:line="560" w:lineRule="exac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开户银行：</w:t>
      </w:r>
      <w:r>
        <w:rPr>
          <w:rFonts w:hint="eastAsia" w:ascii="宋体" w:hAnsi="宋体" w:eastAsia="宋体"/>
          <w:color w:val="000000" w:themeColor="text1"/>
          <w:sz w:val="24"/>
          <w:szCs w:val="24"/>
          <w:u w:val="single"/>
          <w14:textFill>
            <w14:solidFill>
              <w14:schemeClr w14:val="tx1"/>
            </w14:solidFill>
          </w14:textFill>
        </w:rPr>
        <w:t xml:space="preserve">        </w:t>
      </w:r>
    </w:p>
    <w:bookmarkEnd w:id="72"/>
    <w:p w14:paraId="5B9AD8EA">
      <w:pPr>
        <w:widowControl/>
        <w:jc w:val="left"/>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br w:type="page"/>
      </w:r>
    </w:p>
    <w:p w14:paraId="150D5081">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bookmarkStart w:id="73" w:name="_Toc415"/>
      <w:r>
        <w:rPr>
          <w:rFonts w:hint="eastAsia" w:asciiTheme="minorEastAsia" w:hAnsiTheme="minorEastAsia" w:eastAsiaTheme="minorEastAsia"/>
          <w:b/>
          <w:color w:val="000000" w:themeColor="text1"/>
          <w:sz w:val="24"/>
          <w14:textFill>
            <w14:solidFill>
              <w14:schemeClr w14:val="tx1"/>
            </w14:solidFill>
          </w14:textFill>
        </w:rPr>
        <w:t>第二部分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合同一般条款</w:t>
      </w:r>
      <w:bookmarkEnd w:id="71"/>
      <w:bookmarkEnd w:id="73"/>
    </w:p>
    <w:p w14:paraId="52DE4C6B">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74" w:name="_Ref467378499"/>
      <w:bookmarkStart w:id="75" w:name="_Ref467379109"/>
      <w:bookmarkStart w:id="76" w:name="_Ref467379101"/>
      <w:bookmarkStart w:id="77" w:name="_Toc16917"/>
      <w:bookmarkStart w:id="78" w:name="_Ref467378404"/>
      <w:bookmarkStart w:id="79" w:name="_Toc279701240"/>
      <w:bookmarkStart w:id="80" w:name="_Ref467379195"/>
      <w:bookmarkStart w:id="81" w:name="_Toc259093669"/>
      <w:bookmarkStart w:id="82" w:name="_Toc28763"/>
      <w:bookmarkStart w:id="83" w:name="_Ref467379205"/>
      <w:bookmarkStart w:id="84" w:name="_Toc487900349"/>
      <w:bookmarkStart w:id="85" w:name="_Ref467378463"/>
      <w:bookmarkStart w:id="86" w:name="_Ref467379094"/>
      <w:bookmarkStart w:id="87" w:name="_Ref467379225"/>
      <w:bookmarkStart w:id="88" w:name="_Ref467379214"/>
      <w:bookmarkStart w:id="89" w:name="_Toc1961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 定义</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0EC9A2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14:textFill>
            <w14:solidFill>
              <w14:schemeClr w14:val="tx1"/>
            </w14:solidFill>
          </w14:textFill>
        </w:rPr>
        <w:t>词</w:t>
      </w:r>
      <w:r>
        <w:rPr>
          <w:rFonts w:cs="Times New Roman" w:asciiTheme="minorEastAsia" w:hAnsiTheme="minorEastAsia" w:eastAsiaTheme="minorEastAsia"/>
          <w:color w:val="000000" w:themeColor="text1"/>
          <w:sz w:val="24"/>
          <w:szCs w:val="24"/>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14:textFill>
            <w14:solidFill>
              <w14:schemeClr w14:val="tx1"/>
            </w14:solidFill>
          </w14:textFill>
        </w:rPr>
        <w:t>解释：</w:t>
      </w:r>
    </w:p>
    <w:p w14:paraId="5E3EC19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.1</w:t>
      </w:r>
      <w:r>
        <w:rPr>
          <w:rFonts w:cs="Times New Roman" w:asciiTheme="minorEastAsia" w:hAnsiTheme="minorEastAsia" w:eastAsiaTheme="minorEastAsia"/>
          <w:color w:val="000000" w:themeColor="text1"/>
          <w:sz w:val="24"/>
          <w:szCs w:val="24"/>
          <w14:textFill>
            <w14:solidFill>
              <w14:schemeClr w14:val="tx1"/>
            </w14:solidFill>
          </w14:textFill>
        </w:rPr>
        <w:t>“合同”系指采购人和中标人签订的载明双方当事人所达成的协议，并包括所有的附件、附录和构成合同的其他文件。</w:t>
      </w:r>
    </w:p>
    <w:p w14:paraId="21393DD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采购人应支付给中标人的价格。</w:t>
      </w:r>
    </w:p>
    <w:p w14:paraId="5C3AAA0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1.3“</w:t>
      </w:r>
      <w:r>
        <w:rPr>
          <w:rFonts w:hint="eastAsia" w:cs="Times New Roman" w:asciiTheme="minorEastAsia" w:hAnsiTheme="minorEastAsia" w:eastAsiaTheme="minorEastAsia"/>
          <w:color w:val="000000" w:themeColor="text1"/>
          <w:sz w:val="24"/>
          <w:szCs w:val="24"/>
          <w14:textFill>
            <w14:solidFill>
              <w14:schemeClr w14:val="tx1"/>
            </w14:solidFill>
          </w14:textFill>
        </w:rPr>
        <w:t>服务</w:t>
      </w:r>
      <w:r>
        <w:rPr>
          <w:rFonts w:cs="Times New Roman" w:asciiTheme="minorEastAsia" w:hAnsiTheme="minorEastAsia" w:eastAsiaTheme="minorEastAsia"/>
          <w:color w:val="000000" w:themeColor="text1"/>
          <w:sz w:val="24"/>
          <w:szCs w:val="24"/>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w:t>
      </w:r>
      <w:r>
        <w:rPr>
          <w:rFonts w:hint="eastAsia" w:cs="Times New Roman" w:asciiTheme="minorEastAsia" w:hAnsiTheme="minorEastAsia" w:eastAsiaTheme="minorEastAsia"/>
          <w:color w:val="000000" w:themeColor="text1"/>
          <w:sz w:val="24"/>
          <w:szCs w:val="24"/>
          <w14:textFill>
            <w14:solidFill>
              <w14:schemeClr w14:val="tx1"/>
            </w14:solidFill>
          </w14:textFill>
        </w:rPr>
        <w:t>除货物和工程以外的其他政府采购对象，包括采购人自身需要的服务和向社会公众提供的公共服务。</w:t>
      </w:r>
    </w:p>
    <w:p w14:paraId="16AD01F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90" w:name="_Ref46737884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甲方</w:t>
      </w:r>
      <w:r>
        <w:rPr>
          <w:rFonts w:cs="Times New Roman" w:asciiTheme="minorEastAsia" w:hAnsiTheme="minorEastAsia" w:eastAsiaTheme="minorEastAsia"/>
          <w:color w:val="000000" w:themeColor="text1"/>
          <w:sz w:val="24"/>
          <w:szCs w:val="24"/>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14:textFill>
            <w14:solidFill>
              <w14:schemeClr w14:val="tx1"/>
            </w14:solidFill>
          </w14:textFill>
        </w:rPr>
        <w:t>中标人</w:t>
      </w:r>
      <w:r>
        <w:rPr>
          <w:rFonts w:cs="Times New Roman" w:asciiTheme="minorEastAsia" w:hAnsiTheme="minorEastAsia" w:eastAsiaTheme="minorEastAsia"/>
          <w:color w:val="000000" w:themeColor="text1"/>
          <w:sz w:val="24"/>
          <w:szCs w:val="24"/>
          <w14:textFill>
            <w14:solidFill>
              <w14:schemeClr w14:val="tx1"/>
            </w14:solidFill>
          </w14:textFill>
        </w:rPr>
        <w:t>签署合同的采购人</w:t>
      </w:r>
      <w:bookmarkEnd w:id="90"/>
      <w:r>
        <w:rPr>
          <w:rFonts w:hint="eastAsia" w:cs="Times New Roman" w:asciiTheme="minorEastAsia" w:hAnsiTheme="minorEastAsia" w:eastAsiaTheme="minorEastAsia"/>
          <w:color w:val="000000" w:themeColor="text1"/>
          <w:sz w:val="24"/>
          <w:szCs w:val="24"/>
          <w14:textFill>
            <w14:solidFill>
              <w14:schemeClr w14:val="tx1"/>
            </w14:solidFill>
          </w14:textFill>
        </w:rPr>
        <w:t>；采购人委托采购代理机构代表其与乙方签订合同的，采购人的授权委托书作为合同附件。</w:t>
      </w:r>
    </w:p>
    <w:p w14:paraId="6F109A8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91" w:name="_Ref467379400"/>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的中标人</w:t>
      </w:r>
      <w:bookmarkEnd w:id="91"/>
      <w:r>
        <w:rPr>
          <w:rFonts w:hint="eastAsia" w:cs="Times New Roman" w:asciiTheme="minorEastAsia" w:hAnsiTheme="minorEastAsia" w:eastAsiaTheme="minorEastAsia"/>
          <w:color w:val="000000" w:themeColor="text1"/>
          <w:sz w:val="24"/>
          <w:szCs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099A7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92" w:name="_Ref467379436"/>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6</w:t>
      </w:r>
      <w:r>
        <w:rPr>
          <w:rFonts w:cs="Times New Roman" w:asciiTheme="minorEastAsia" w:hAnsiTheme="minorEastAsia" w:eastAsiaTheme="minorEastAsia"/>
          <w:color w:val="000000" w:themeColor="text1"/>
          <w:sz w:val="24"/>
          <w:szCs w:val="24"/>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的地点。</w:t>
      </w:r>
      <w:bookmarkEnd w:id="92"/>
    </w:p>
    <w:p w14:paraId="24E85765">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3" w:name="_Toc259093670"/>
      <w:bookmarkStart w:id="94" w:name="_Toc27635"/>
      <w:bookmarkStart w:id="95" w:name="_Toc13336"/>
      <w:bookmarkStart w:id="96" w:name="_Toc487900350"/>
      <w:bookmarkStart w:id="97" w:name="_Toc32504"/>
      <w:bookmarkStart w:id="98" w:name="_Toc27970124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2 技术规范</w:t>
      </w:r>
      <w:bookmarkEnd w:id="93"/>
      <w:bookmarkEnd w:id="94"/>
      <w:bookmarkEnd w:id="95"/>
      <w:bookmarkEnd w:id="96"/>
      <w:bookmarkEnd w:id="97"/>
      <w:bookmarkEnd w:id="98"/>
    </w:p>
    <w:p w14:paraId="5E818F3E">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14:textFill>
            <w14:solidFill>
              <w14:schemeClr w14:val="tx1"/>
            </w14:solidFill>
          </w14:textFill>
        </w:rPr>
        <w:t>和</w:t>
      </w:r>
      <w:r>
        <w:rPr>
          <w:rFonts w:cs="Times New Roman" w:asciiTheme="minorEastAsia" w:hAnsiTheme="minorEastAsia" w:eastAsiaTheme="minorEastAsia"/>
          <w:color w:val="000000" w:themeColor="text1"/>
          <w:sz w:val="24"/>
          <w:szCs w:val="24"/>
          <w14:textFill>
            <w14:solidFill>
              <w14:schemeClr w14:val="tx1"/>
            </w14:solidFill>
          </w14:textFill>
        </w:rPr>
        <w:t>规范为准。</w:t>
      </w:r>
    </w:p>
    <w:p w14:paraId="12D731BA">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99" w:name="_Toc27853"/>
      <w:bookmarkStart w:id="100" w:name="_Toc487900351"/>
      <w:bookmarkStart w:id="101" w:name="_Toc279701242"/>
      <w:bookmarkStart w:id="102" w:name="_Toc259093671"/>
      <w:bookmarkStart w:id="103" w:name="_Toc9829"/>
      <w:bookmarkStart w:id="104" w:name="_Toc3163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3 知识产权</w:t>
      </w:r>
      <w:bookmarkEnd w:id="99"/>
      <w:bookmarkEnd w:id="100"/>
      <w:bookmarkEnd w:id="101"/>
      <w:bookmarkEnd w:id="102"/>
      <w:bookmarkEnd w:id="103"/>
      <w:bookmarkEnd w:id="104"/>
    </w:p>
    <w:p w14:paraId="47EFB3E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2.3.1乙</w:t>
      </w:r>
      <w:r>
        <w:rPr>
          <w:rFonts w:cs="Times New Roman" w:asciiTheme="minorEastAsia" w:hAnsiTheme="minorEastAsia" w:eastAsiaTheme="minorEastAsia"/>
          <w:color w:val="000000" w:themeColor="text1"/>
          <w:sz w:val="24"/>
          <w:szCs w:val="24"/>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14:textFill>
            <w14:solidFill>
              <w14:schemeClr w14:val="tx1"/>
            </w14:solidFill>
          </w14:textFill>
        </w:rPr>
        <w:t>其提供的服务</w:t>
      </w:r>
      <w:r>
        <w:rPr>
          <w:rFonts w:cs="Times New Roman" w:asciiTheme="minorEastAsia" w:hAnsiTheme="minorEastAsia" w:eastAsiaTheme="minorEastAsia"/>
          <w:color w:val="000000" w:themeColor="text1"/>
          <w:sz w:val="24"/>
          <w:szCs w:val="24"/>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14:textFill>
            <w14:solidFill>
              <w14:schemeClr w14:val="tx1"/>
            </w14:solidFill>
          </w14:textFill>
        </w:rPr>
        <w:t>指控</w:t>
      </w:r>
      <w:r>
        <w:rPr>
          <w:rFonts w:cs="Times New Roman" w:asciiTheme="minorEastAsia" w:hAnsiTheme="minorEastAsia" w:eastAsiaTheme="minorEastAsia"/>
          <w:color w:val="000000" w:themeColor="text1"/>
          <w:sz w:val="24"/>
          <w:szCs w:val="24"/>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4EF6C3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2.3.2具有知识产权的计算机软件等货物的知识产权归属，</w:t>
      </w: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597C1919">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05" w:name="_Ref467379527"/>
      <w:bookmarkStart w:id="106" w:name="_Ref467379542"/>
      <w:bookmarkStart w:id="107" w:name="_Ref467379536"/>
      <w:bookmarkStart w:id="108" w:name="_Toc259093674"/>
      <w:bookmarkStart w:id="109" w:name="_Ref467378591"/>
      <w:bookmarkStart w:id="110" w:name="_Toc487900354"/>
      <w:bookmarkStart w:id="111" w:name="_Ref467378541"/>
      <w:bookmarkStart w:id="112" w:name="_Toc279701245"/>
      <w:bookmarkStart w:id="113" w:name="_Toc19074"/>
      <w:bookmarkStart w:id="114" w:name="_Toc26182"/>
      <w:bookmarkStart w:id="115" w:name="_Toc30272"/>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bookmarkEnd w:id="105"/>
      <w:bookmarkEnd w:id="106"/>
      <w:bookmarkEnd w:id="107"/>
      <w:bookmarkEnd w:id="108"/>
      <w:bookmarkEnd w:id="109"/>
      <w:bookmarkEnd w:id="110"/>
      <w:bookmarkEnd w:id="111"/>
      <w:bookmarkEnd w:id="112"/>
      <w:r>
        <w:rPr>
          <w:rFonts w:cs="Times New Roman" w:asciiTheme="minorEastAsia" w:hAnsiTheme="minorEastAsia" w:eastAsiaTheme="minorEastAsia"/>
          <w:b/>
          <w:bCs/>
          <w:color w:val="000000" w:themeColor="text1"/>
          <w:sz w:val="24"/>
          <w:szCs w:val="24"/>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履约检查和问题反馈</w:t>
      </w:r>
      <w:bookmarkEnd w:id="113"/>
      <w:bookmarkEnd w:id="114"/>
      <w:bookmarkEnd w:id="115"/>
    </w:p>
    <w:p w14:paraId="49E5ADC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bookmarkStart w:id="116" w:name="_Toc186431854"/>
      <w:bookmarkStart w:id="117" w:name="_Toc259093676"/>
      <w:bookmarkStart w:id="118" w:name="_Ref467379807"/>
      <w:bookmarkStart w:id="119" w:name="_Ref467379793"/>
      <w:bookmarkStart w:id="120" w:name="_Toc487900357"/>
      <w:bookmarkStart w:id="121" w:name="_Toc279701247"/>
      <w:r>
        <w:rPr>
          <w:rFonts w:hint="eastAsia" w:cs="Times New Roman" w:asciiTheme="minorEastAsia" w:hAnsiTheme="minorEastAsia" w:eastAsiaTheme="minorEastAsia"/>
          <w:color w:val="000000" w:themeColor="text1"/>
          <w:sz w:val="24"/>
          <w:szCs w:val="24"/>
          <w14:textFill>
            <w14:solidFill>
              <w14:schemeClr w14:val="tx1"/>
            </w14:solidFill>
          </w14:textFill>
        </w:rPr>
        <w:t>2.4</w:t>
      </w:r>
      <w:r>
        <w:rPr>
          <w:rFonts w:cs="Times New Roman" w:asciiTheme="minorEastAsia" w:hAnsiTheme="minorEastAsia" w:eastAsiaTheme="minorEastAsia"/>
          <w:color w:val="000000" w:themeColor="text1"/>
          <w:sz w:val="24"/>
          <w:szCs w:val="24"/>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14:textFill>
            <w14:solidFill>
              <w14:schemeClr w14:val="tx1"/>
            </w14:solidFill>
          </w14:textFill>
        </w:rPr>
        <w:t>有权</w:t>
      </w:r>
      <w:r>
        <w:rPr>
          <w:rFonts w:cs="Times New Roman" w:asciiTheme="minorEastAsia" w:hAnsiTheme="minorEastAsia" w:eastAsiaTheme="minorEastAsia"/>
          <w:color w:val="000000" w:themeColor="text1"/>
          <w:sz w:val="24"/>
          <w:szCs w:val="24"/>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4F0AE86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.2合同履行期间，甲方有权将履行过程中出现的问题反馈给乙方，双方当事人应以书面形式约定需要完善和改进的内容</w:t>
      </w:r>
      <w:bookmarkEnd w:id="116"/>
      <w:bookmarkStart w:id="122" w:name="_Toc186431855"/>
      <w:r>
        <w:rPr>
          <w:rFonts w:hint="eastAsia" w:cs="Times New Roman" w:asciiTheme="minorEastAsia" w:hAnsiTheme="minorEastAsia" w:eastAsiaTheme="minorEastAsia"/>
          <w:color w:val="000000" w:themeColor="text1"/>
          <w:sz w:val="24"/>
          <w:szCs w:val="24"/>
          <w14:textFill>
            <w14:solidFill>
              <w14:schemeClr w14:val="tx1"/>
            </w14:solidFill>
          </w14:textFill>
        </w:rPr>
        <w:t>。</w:t>
      </w:r>
    </w:p>
    <w:bookmarkEnd w:id="122"/>
    <w:p w14:paraId="6EAD1D07">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3" w:name="_Toc19219"/>
      <w:bookmarkStart w:id="124" w:name="_Toc28451"/>
      <w:bookmarkStart w:id="125" w:name="_Toc783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结算方式和付款条件</w:t>
      </w:r>
      <w:bookmarkEnd w:id="117"/>
      <w:bookmarkEnd w:id="118"/>
      <w:bookmarkEnd w:id="119"/>
      <w:bookmarkEnd w:id="120"/>
      <w:bookmarkEnd w:id="121"/>
      <w:bookmarkEnd w:id="123"/>
      <w:bookmarkEnd w:id="124"/>
      <w:bookmarkEnd w:id="125"/>
    </w:p>
    <w:p w14:paraId="0A111DB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w:t>
      </w:r>
    </w:p>
    <w:p w14:paraId="529C328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26" w:name="_Ref467379863"/>
      <w:bookmarkStart w:id="127" w:name="_Ref467379923"/>
      <w:bookmarkStart w:id="128" w:name="_Toc259093677"/>
      <w:bookmarkStart w:id="129" w:name="_Toc487900358"/>
      <w:bookmarkStart w:id="130" w:name="_Toc279701248"/>
      <w:bookmarkStart w:id="131" w:name="_Ref467379852"/>
      <w:bookmarkStart w:id="132" w:name="_Toc3225"/>
      <w:bookmarkStart w:id="133" w:name="_Toc774"/>
      <w:bookmarkStart w:id="134" w:name="_Toc16110"/>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技术资料</w:t>
      </w:r>
      <w:bookmarkEnd w:id="126"/>
      <w:bookmarkEnd w:id="127"/>
      <w:bookmarkEnd w:id="128"/>
      <w:bookmarkEnd w:id="129"/>
      <w:bookmarkEnd w:id="130"/>
      <w:bookmarkEnd w:id="131"/>
      <w:r>
        <w:rPr>
          <w:rFonts w:cs="Times New Roman" w:asciiTheme="minorEastAsia" w:hAnsiTheme="minorEastAsia" w:eastAsiaTheme="minorEastAsia"/>
          <w:b/>
          <w:bCs/>
          <w:color w:val="000000" w:themeColor="text1"/>
          <w:sz w:val="24"/>
          <w:szCs w:val="24"/>
          <w:lang w:val="zh-CN"/>
          <w14:textFill>
            <w14:solidFill>
              <w14:schemeClr w14:val="tx1"/>
            </w14:solidFill>
          </w14:textFill>
        </w:rPr>
        <w:t>和保密义务</w:t>
      </w:r>
      <w:bookmarkEnd w:id="132"/>
      <w:bookmarkEnd w:id="133"/>
      <w:bookmarkEnd w:id="134"/>
    </w:p>
    <w:p w14:paraId="0304A1F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6.1</w:t>
      </w:r>
      <w:r>
        <w:rPr>
          <w:rFonts w:hint="eastAsia" w:cs="Times New Roman" w:asciiTheme="minorEastAsia" w:hAnsiTheme="minorEastAsia" w:eastAsiaTheme="minorEastAsia"/>
          <w:color w:val="000000" w:themeColor="text1"/>
          <w:sz w:val="24"/>
          <w:szCs w:val="24"/>
          <w14:textFill>
            <w14:solidFill>
              <w14:schemeClr w14:val="tx1"/>
            </w14:solidFill>
          </w14:textFill>
        </w:rPr>
        <w:t>乙方有权依据合同约定和项目需要，向甲方了解有关情况，调阅有关资料等，甲方应予积极配合；</w:t>
      </w:r>
    </w:p>
    <w:p w14:paraId="1D2E6288">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.2乙方有义务妥善保管和保护由甲方提供的前款信息和资料等；</w:t>
      </w:r>
    </w:p>
    <w:p w14:paraId="6AD1084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6.</w:t>
      </w:r>
      <w:r>
        <w:rPr>
          <w:rFonts w:hint="eastAsia" w:cs="Times New Roman" w:asciiTheme="minorEastAsia" w:hAnsiTheme="minorEastAsia" w:eastAsiaTheme="minorEastAsia"/>
          <w:color w:val="000000" w:themeColor="text1"/>
          <w:sz w:val="24"/>
          <w:szCs w:val="24"/>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14:textFill>
            <w14:solidFill>
              <w14:schemeClr w14:val="tx1"/>
            </w14:solidFill>
          </w14:textFill>
        </w:rPr>
        <w:t>、商业秘密和商业信息等，并采取一切合理和必要措施和方式防止任何第三方接触到对方当事人的上述保密信息和资料。</w:t>
      </w:r>
    </w:p>
    <w:p w14:paraId="16446A7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5" w:name="_Toc7860"/>
      <w:r>
        <w:rPr>
          <w:rFonts w:cs="Times New Roman" w:asciiTheme="minorEastAsia" w:hAnsiTheme="minorEastAsia" w:eastAsiaTheme="minorEastAsia"/>
          <w:b/>
          <w:bCs/>
          <w:color w:val="000000" w:themeColor="text1"/>
          <w:sz w:val="24"/>
          <w:szCs w:val="24"/>
          <w:lang w:val="zh-CN"/>
          <w14:textFill>
            <w14:solidFill>
              <w14:schemeClr w14:val="tx1"/>
            </w14:solidFill>
          </w14:textFill>
        </w:rPr>
        <w:t>2.7 质量保证</w:t>
      </w:r>
      <w:bookmarkEnd w:id="13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r>
        <w:rPr>
          <w:rFonts w:hint="eastAsia" w:cs="Times New Roman" w:asciiTheme="minorEastAsia" w:hAnsiTheme="minorEastAsia" w:eastAsiaTheme="minorEastAsia"/>
          <w:b/>
          <w:bCs/>
          <w:color w:val="000000" w:themeColor="text1"/>
          <w:sz w:val="24"/>
          <w:szCs w:val="24"/>
          <w:lang w:val="en-US" w:eastAsia="zh-CN"/>
          <w14:textFill>
            <w14:solidFill>
              <w14:schemeClr w14:val="tx1"/>
            </w14:solidFill>
          </w14:textFill>
        </w:rPr>
        <w:t>不采用</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p>
    <w:p w14:paraId="61A8D16F">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.1乙方应建立和完善履行合同的内部质量保证体系，并提供相关内部规章制度给甲方，以便甲方进行监督检查；</w:t>
      </w:r>
    </w:p>
    <w:p w14:paraId="3C75A3C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7</w:t>
      </w:r>
      <w:r>
        <w:rPr>
          <w:rFonts w:hint="eastAsia" w:cs="Times New Roman" w:asciiTheme="minorEastAsia" w:hAnsiTheme="minorEastAsia" w:eastAsiaTheme="minorEastAsia"/>
          <w:color w:val="000000" w:themeColor="text1"/>
          <w:sz w:val="24"/>
          <w:szCs w:val="24"/>
          <w14:textFill>
            <w14:solidFill>
              <w14:schemeClr w14:val="tx1"/>
            </w14:solidFill>
          </w14:textFill>
        </w:rPr>
        <w:t>.2乙方应保证履行合同的人员数量和素质、软件和硬件设备的配置、场地、环境和设施等满足全面履行合同的要求，并应接受甲方的监督检查。</w:t>
      </w:r>
    </w:p>
    <w:p w14:paraId="26CA55F3">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36" w:name="_Toc22267"/>
      <w:r>
        <w:rPr>
          <w:rFonts w:hint="eastAsia" w:cs="Times New Roman" w:asciiTheme="minorEastAsia" w:hAnsiTheme="minorEastAsia" w:eastAsiaTheme="minorEastAsia"/>
          <w:b/>
          <w:color w:val="000000" w:themeColor="text1"/>
          <w:sz w:val="24"/>
          <w:szCs w:val="24"/>
          <w14:textFill>
            <w14:solidFill>
              <w14:schemeClr w14:val="tx1"/>
            </w14:solidFill>
          </w14:textFill>
        </w:rPr>
        <w:t>2.8 延迟履行</w:t>
      </w:r>
      <w:bookmarkEnd w:id="136"/>
    </w:p>
    <w:p w14:paraId="42C86F33">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14:textFill>
            <w14:solidFill>
              <w14:schemeClr w14:val="tx1"/>
            </w14:solidFill>
          </w14:textFill>
        </w:rPr>
        <w:t>提供服务</w:t>
      </w:r>
      <w:r>
        <w:rPr>
          <w:rFonts w:cs="Times New Roman" w:asciiTheme="minorEastAsia" w:hAnsiTheme="minorEastAsia" w:eastAsiaTheme="minorEastAsia"/>
          <w:color w:val="000000" w:themeColor="text1"/>
          <w:sz w:val="24"/>
          <w:szCs w:val="24"/>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14:textFill>
            <w14:solidFill>
              <w14:schemeClr w14:val="tx1"/>
            </w14:solidFill>
          </w14:textFill>
        </w:rPr>
        <w:t>；甲</w:t>
      </w:r>
      <w:r>
        <w:rPr>
          <w:rFonts w:cs="Times New Roman" w:asciiTheme="minorEastAsia" w:hAnsiTheme="minorEastAsia" w:eastAsiaTheme="minorEastAsia"/>
          <w:color w:val="000000" w:themeColor="text1"/>
          <w:sz w:val="24"/>
          <w:szCs w:val="24"/>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14:textFill>
            <w14:solidFill>
              <w14:schemeClr w14:val="tx1"/>
            </w14:solidFill>
          </w14:textFill>
        </w:rPr>
        <w:t>履行</w:t>
      </w:r>
      <w:r>
        <w:rPr>
          <w:rFonts w:cs="Times New Roman" w:asciiTheme="minorEastAsia" w:hAnsiTheme="minorEastAsia" w:eastAsiaTheme="minorEastAsia"/>
          <w:color w:val="000000" w:themeColor="text1"/>
          <w:sz w:val="24"/>
          <w:szCs w:val="24"/>
          <w14:textFill>
            <w14:solidFill>
              <w14:schemeClr w14:val="tx1"/>
            </w14:solidFill>
          </w14:textFill>
        </w:rPr>
        <w:t>的具体时间。</w:t>
      </w:r>
    </w:p>
    <w:p w14:paraId="1B432014">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37" w:name="_Toc7502"/>
      <w:bookmarkStart w:id="138" w:name="_Ref467378121"/>
      <w:bookmarkStart w:id="139" w:name="_Toc487900364"/>
      <w:bookmarkStart w:id="140" w:name="_Toc259093683"/>
      <w:bookmarkStart w:id="141" w:name="_Toc279701254"/>
      <w:r>
        <w:rPr>
          <w:rFonts w:cs="Times New Roman" w:asciiTheme="minorEastAsia" w:hAnsiTheme="minorEastAsia" w:eastAsiaTheme="minorEastAsia"/>
          <w:b/>
          <w:bCs/>
          <w:color w:val="000000" w:themeColor="text1"/>
          <w:sz w:val="24"/>
          <w:szCs w:val="24"/>
          <w:lang w:val="zh-CN"/>
          <w14:textFill>
            <w14:solidFill>
              <w14:schemeClr w14:val="tx1"/>
            </w14:solidFill>
          </w14:textFill>
        </w:rPr>
        <w:t>2.9 合同变更</w:t>
      </w:r>
      <w:bookmarkEnd w:id="137"/>
    </w:p>
    <w:p w14:paraId="47CC93F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.1双方当事人协商一致，可以签订书面补充合同的形式变更合同，但不得违背采购文件确定的事项；</w:t>
      </w:r>
    </w:p>
    <w:p w14:paraId="28BF19D6">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9</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42" w:name="_Toc259093688"/>
      <w:bookmarkStart w:id="143" w:name="_Toc279701259"/>
      <w:bookmarkStart w:id="144" w:name="_Toc487900369"/>
    </w:p>
    <w:p w14:paraId="4790D039">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45" w:name="_Toc10366"/>
      <w:bookmarkStart w:id="146" w:name="_Toc15237"/>
      <w:bookmarkStart w:id="147" w:name="_Toc22955"/>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合同转让</w:t>
      </w:r>
      <w:bookmarkEnd w:id="142"/>
      <w:bookmarkEnd w:id="143"/>
      <w:bookmarkEnd w:id="144"/>
      <w:r>
        <w:rPr>
          <w:rFonts w:cs="Times New Roman" w:asciiTheme="minorEastAsia" w:hAnsiTheme="minorEastAsia" w:eastAsiaTheme="minorEastAsia"/>
          <w:b/>
          <w:bCs/>
          <w:color w:val="000000" w:themeColor="text1"/>
          <w:sz w:val="24"/>
          <w:szCs w:val="24"/>
          <w:lang w:val="zh-CN"/>
          <w14:textFill>
            <w14:solidFill>
              <w14:schemeClr w14:val="tx1"/>
            </w14:solidFill>
          </w14:textFill>
        </w:rPr>
        <w:t>和分包</w:t>
      </w:r>
      <w:bookmarkEnd w:id="145"/>
      <w:bookmarkEnd w:id="146"/>
      <w:bookmarkEnd w:id="147"/>
    </w:p>
    <w:p w14:paraId="36BE147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14:textFill>
            <w14:solidFill>
              <w14:schemeClr w14:val="tx1"/>
            </w14:solidFill>
          </w14:textFill>
        </w:rPr>
        <w:t>得</w:t>
      </w:r>
      <w:r>
        <w:rPr>
          <w:rFonts w:cs="Times New Roman" w:asciiTheme="minorEastAsia" w:hAnsiTheme="minorEastAsia" w:eastAsiaTheme="minorEastAsia"/>
          <w:color w:val="000000" w:themeColor="text1"/>
          <w:sz w:val="24"/>
          <w:szCs w:val="24"/>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并</w:t>
      </w:r>
      <w:r>
        <w:rPr>
          <w:rFonts w:hint="eastAsia" w:cs="Times New Roman" w:asciiTheme="minorEastAsia" w:hAnsiTheme="minorEastAsia" w:eastAsiaTheme="minorEastAsia"/>
          <w:color w:val="000000" w:themeColor="text1"/>
          <w:sz w:val="24"/>
          <w:szCs w:val="24"/>
          <w14:textFill>
            <w14:solidFill>
              <w14:schemeClr w14:val="tx1"/>
            </w14:solidFill>
          </w14:textFill>
        </w:rPr>
        <w:t>与分包供应商就分包项目向甲方承担连带责任。</w:t>
      </w:r>
    </w:p>
    <w:p w14:paraId="345374A3">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48" w:name="_Toc13566"/>
      <w:bookmarkStart w:id="149" w:name="_Toc14066"/>
      <w:bookmarkStart w:id="150" w:name="_Toc16508"/>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 不可抗力</w:t>
      </w:r>
      <w:bookmarkEnd w:id="148"/>
      <w:bookmarkEnd w:id="149"/>
      <w:bookmarkEnd w:id="150"/>
    </w:p>
    <w:p w14:paraId="2FB94F9D">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0F3BF3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.2因不可抗力致使不能实现合同目的的，当事人可以解除合同；</w:t>
      </w:r>
    </w:p>
    <w:p w14:paraId="38EC23E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.3因</w:t>
      </w:r>
      <w:r>
        <w:rPr>
          <w:rFonts w:cs="Times New Roman" w:asciiTheme="minorEastAsia" w:hAnsiTheme="minorEastAsia" w:eastAsiaTheme="minorEastAsia"/>
          <w:color w:val="000000" w:themeColor="text1"/>
          <w:sz w:val="24"/>
          <w:szCs w:val="24"/>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2EEBCB3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4</w:t>
      </w:r>
      <w:r>
        <w:rPr>
          <w:rFonts w:cs="Times New Roman" w:asciiTheme="minorEastAsia" w:hAnsiTheme="minorEastAsia" w:eastAsiaTheme="minorEastAsia"/>
          <w:color w:val="000000" w:themeColor="text1"/>
          <w:sz w:val="24"/>
          <w:szCs w:val="24"/>
          <w14:textFill>
            <w14:solidFill>
              <w14:schemeClr w14:val="tx1"/>
            </w14:solidFill>
          </w14:textFill>
        </w:rPr>
        <w:t>受</w:t>
      </w:r>
      <w:r>
        <w:rPr>
          <w:rFonts w:hint="eastAsia" w:cs="Times New Roman" w:asciiTheme="minorEastAsia" w:hAnsiTheme="minorEastAsia" w:eastAsiaTheme="minorEastAsia"/>
          <w:color w:val="000000" w:themeColor="text1"/>
          <w:sz w:val="24"/>
          <w:szCs w:val="24"/>
          <w14:textFill>
            <w14:solidFill>
              <w14:schemeClr w14:val="tx1"/>
            </w14:solidFill>
          </w14:textFill>
        </w:rPr>
        <w:t>不可抗力</w:t>
      </w:r>
      <w:r>
        <w:rPr>
          <w:rFonts w:cs="Times New Roman" w:asciiTheme="minorEastAsia" w:hAnsiTheme="minorEastAsia" w:eastAsiaTheme="minorEastAsia"/>
          <w:color w:val="000000" w:themeColor="text1"/>
          <w:sz w:val="24"/>
          <w:szCs w:val="24"/>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14:textFill>
            <w14:solidFill>
              <w14:schemeClr w14:val="tx1"/>
            </w14:solidFill>
          </w14:textFill>
        </w:rPr>
        <w:t>对</w:t>
      </w:r>
      <w:r>
        <w:rPr>
          <w:rFonts w:cs="Times New Roman" w:asciiTheme="minorEastAsia" w:hAnsiTheme="minorEastAsia" w:eastAsiaTheme="minorEastAsia"/>
          <w:color w:val="000000" w:themeColor="text1"/>
          <w:sz w:val="24"/>
          <w:szCs w:val="24"/>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14:textFill>
            <w14:solidFill>
              <w14:schemeClr w14:val="tx1"/>
            </w14:solidFill>
          </w14:textFill>
        </w:rPr>
        <w:t>对方当事人</w:t>
      </w:r>
      <w:r>
        <w:rPr>
          <w:rFonts w:cs="Times New Roman" w:asciiTheme="minorEastAsia" w:hAnsiTheme="minorEastAsia" w:eastAsiaTheme="minorEastAsia"/>
          <w:color w:val="000000" w:themeColor="text1"/>
          <w:sz w:val="24"/>
          <w:szCs w:val="24"/>
          <w14:textFill>
            <w14:solidFill>
              <w14:schemeClr w14:val="tx1"/>
            </w14:solidFill>
          </w14:textFill>
        </w:rPr>
        <w:t>。</w:t>
      </w:r>
    </w:p>
    <w:p w14:paraId="3B656CDE">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1" w:name="_Toc30676"/>
      <w:bookmarkStart w:id="152" w:name="_Toc259093684"/>
      <w:bookmarkStart w:id="153" w:name="_Toc487900365"/>
      <w:bookmarkStart w:id="154" w:name="_Toc279701255"/>
      <w:bookmarkStart w:id="155" w:name="_Toc689"/>
      <w:bookmarkStart w:id="156" w:name="_Toc696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税费</w:t>
      </w:r>
      <w:bookmarkEnd w:id="151"/>
      <w:bookmarkEnd w:id="152"/>
      <w:bookmarkEnd w:id="153"/>
      <w:bookmarkEnd w:id="154"/>
      <w:bookmarkEnd w:id="155"/>
      <w:bookmarkEnd w:id="156"/>
    </w:p>
    <w:p w14:paraId="4A7FCF82">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14:textFill>
            <w14:solidFill>
              <w14:schemeClr w14:val="tx1"/>
            </w14:solidFill>
          </w14:textFill>
        </w:rPr>
        <w:t>缴纳</w:t>
      </w:r>
      <w:r>
        <w:rPr>
          <w:rFonts w:cs="Times New Roman" w:asciiTheme="minorEastAsia" w:hAnsiTheme="minorEastAsia" w:eastAsiaTheme="minorEastAsia"/>
          <w:color w:val="000000" w:themeColor="text1"/>
          <w:sz w:val="24"/>
          <w:szCs w:val="24"/>
          <w14:textFill>
            <w14:solidFill>
              <w14:schemeClr w14:val="tx1"/>
            </w14:solidFill>
          </w14:textFill>
        </w:rPr>
        <w:t>。</w:t>
      </w:r>
    </w:p>
    <w:p w14:paraId="6677845F">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57" w:name="_Toc279701258"/>
      <w:bookmarkStart w:id="158" w:name="_Toc487900368"/>
      <w:bookmarkStart w:id="159" w:name="_Toc7102"/>
      <w:bookmarkStart w:id="160" w:name="_Toc16959"/>
      <w:bookmarkStart w:id="161" w:name="_Toc8298"/>
      <w:bookmarkStart w:id="162" w:name="_Toc259093687"/>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乙方破产</w:t>
      </w:r>
      <w:bookmarkEnd w:id="157"/>
      <w:bookmarkEnd w:id="158"/>
      <w:bookmarkEnd w:id="159"/>
      <w:bookmarkEnd w:id="160"/>
      <w:bookmarkEnd w:id="161"/>
      <w:bookmarkEnd w:id="162"/>
    </w:p>
    <w:p w14:paraId="7610A254">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14:textFill>
            <w14:solidFill>
              <w14:schemeClr w14:val="tx1"/>
            </w14:solidFill>
          </w14:textFill>
        </w:rPr>
        <w:t>，但合同的</w:t>
      </w:r>
      <w:r>
        <w:rPr>
          <w:rFonts w:cs="Times New Roman" w:asciiTheme="minorEastAsia" w:hAnsiTheme="minorEastAsia" w:eastAsiaTheme="minorEastAsia"/>
          <w:color w:val="000000" w:themeColor="text1"/>
          <w:sz w:val="24"/>
          <w:szCs w:val="24"/>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3325B0C">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63" w:name="_Toc6134"/>
      <w:bookmarkStart w:id="164" w:name="_Toc15387"/>
      <w:bookmarkStart w:id="165" w:name="_Toc29333"/>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合同中止、终止</w:t>
      </w:r>
      <w:bookmarkEnd w:id="163"/>
      <w:bookmarkEnd w:id="164"/>
      <w:bookmarkEnd w:id="165"/>
    </w:p>
    <w:p w14:paraId="687D60BC">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.1双方当事人不得擅自中止或者终止合同；</w:t>
      </w:r>
    </w:p>
    <w:p w14:paraId="0BAB9157">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w:t>
      </w:r>
      <w:r>
        <w:rPr>
          <w:rFonts w:cs="Times New Roman" w:asciiTheme="minorEastAsia" w:hAnsiTheme="minorEastAsia" w:eastAsiaTheme="minorEastAsia"/>
          <w:color w:val="000000" w:themeColor="text1"/>
          <w:sz w:val="24"/>
          <w:szCs w:val="24"/>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3C732AF6">
      <w:pPr>
        <w:spacing w:line="360" w:lineRule="auto"/>
        <w:ind w:firstLine="437"/>
        <w:outlineLvl w:val="2"/>
        <w:rPr>
          <w:rFonts w:cs="Times New Roman" w:asciiTheme="minorEastAsia" w:hAnsiTheme="minorEastAsia" w:eastAsiaTheme="minorEastAsia"/>
          <w:b/>
          <w:bCs/>
          <w:color w:val="000000" w:themeColor="text1"/>
          <w:sz w:val="24"/>
          <w:szCs w:val="24"/>
          <w:lang w:val="zh-CN"/>
          <w14:textFill>
            <w14:solidFill>
              <w14:schemeClr w14:val="tx1"/>
            </w14:solidFill>
          </w14:textFill>
        </w:rPr>
      </w:pPr>
      <w:bookmarkStart w:id="166" w:name="_Toc14563"/>
      <w:bookmarkStart w:id="167" w:name="_Toc1125"/>
      <w:bookmarkStart w:id="168" w:name="_Toc6596"/>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检验和验收</w:t>
      </w:r>
      <w:bookmarkEnd w:id="166"/>
      <w:bookmarkEnd w:id="167"/>
      <w:bookmarkEnd w:id="168"/>
    </w:p>
    <w:p w14:paraId="67A4AA3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w:t>
      </w:r>
      <w:r>
        <w:rPr>
          <w:rFonts w:hint="eastAsia" w:cs="Times New Roman" w:asciiTheme="minorEastAsia" w:hAnsiTheme="minorEastAsia" w:eastAsiaTheme="minorEastAsia"/>
          <w:color w:val="000000" w:themeColor="text1"/>
          <w:sz w:val="24"/>
          <w:szCs w:val="24"/>
          <w14:textFill>
            <w14:solidFill>
              <w14:schemeClr w14:val="tx1"/>
            </w14:solidFill>
          </w14:textFill>
        </w:rPr>
        <w:t>5</w:t>
      </w:r>
      <w:r>
        <w:rPr>
          <w:rFonts w:cs="Times New Roman" w:asciiTheme="minorEastAsia" w:hAnsiTheme="minorEastAsia" w:eastAsiaTheme="minorEastAsia"/>
          <w:color w:val="000000" w:themeColor="text1"/>
          <w:sz w:val="24"/>
          <w:szCs w:val="24"/>
          <w14:textFill>
            <w14:solidFill>
              <w14:schemeClr w14:val="tx1"/>
            </w14:solidFill>
          </w14:textFill>
        </w:rPr>
        <w:t>.</w:t>
      </w:r>
      <w:r>
        <w:rPr>
          <w:rFonts w:hint="eastAsia" w:cs="Times New Roman" w:asciiTheme="minorEastAsia" w:hAnsiTheme="minorEastAsia" w:eastAsiaTheme="minorEastAsia"/>
          <w:color w:val="000000" w:themeColor="text1"/>
          <w:sz w:val="24"/>
          <w:szCs w:val="24"/>
          <w14:textFill>
            <w14:solidFill>
              <w14:schemeClr w14:val="tx1"/>
            </w14:solidFill>
          </w14:textFill>
        </w:rPr>
        <w:t>1乙方按照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14:textFill>
            <w14:solidFill>
              <w14:schemeClr w14:val="tx1"/>
            </w14:solidFill>
          </w14:textFill>
        </w:rPr>
        <w:t>，甲方按照</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1BD17B4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B984169">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14:textFill>
            <w14:solidFill>
              <w14:schemeClr w14:val="tx1"/>
            </w14:solidFill>
          </w14:textFill>
        </w:rPr>
        <w:t>。</w:t>
      </w:r>
    </w:p>
    <w:bookmarkEnd w:id="138"/>
    <w:bookmarkEnd w:id="139"/>
    <w:bookmarkEnd w:id="140"/>
    <w:bookmarkEnd w:id="141"/>
    <w:p w14:paraId="440BE3AB">
      <w:pPr>
        <w:spacing w:line="360" w:lineRule="auto"/>
        <w:ind w:firstLine="437"/>
        <w:outlineLvl w:val="2"/>
        <w:rPr>
          <w:rFonts w:cs="Times New Roman" w:asciiTheme="minorEastAsia" w:hAnsiTheme="minorEastAsia" w:eastAsiaTheme="minorEastAsia"/>
          <w:b/>
          <w:bCs/>
          <w:color w:val="000000" w:themeColor="text1"/>
          <w:sz w:val="24"/>
          <w:szCs w:val="24"/>
          <w14:textFill>
            <w14:solidFill>
              <w14:schemeClr w14:val="tx1"/>
            </w14:solidFill>
          </w14:textFill>
        </w:rPr>
      </w:pPr>
      <w:bookmarkStart w:id="169" w:name="_Toc259093692"/>
      <w:bookmarkStart w:id="170" w:name="_Toc279701263"/>
      <w:bookmarkStart w:id="171" w:name="_Toc487900373"/>
      <w:bookmarkStart w:id="172" w:name="_Toc18567"/>
      <w:bookmarkStart w:id="173" w:name="_Toc12773"/>
      <w:bookmarkStart w:id="174" w:name="_Toc10330"/>
      <w:r>
        <w:rPr>
          <w:rFonts w:hint="eastAsia" w:cs="Times New Roman" w:asciiTheme="minorEastAsia" w:hAnsiTheme="minorEastAsia" w:eastAsiaTheme="minorEastAsia"/>
          <w:b/>
          <w:bCs/>
          <w:color w:val="000000" w:themeColor="text1"/>
          <w:sz w:val="24"/>
          <w:szCs w:val="24"/>
          <w14:textFill>
            <w14:solidFill>
              <w14:schemeClr w14:val="tx1"/>
            </w14:solidFill>
          </w14:textFill>
        </w:rPr>
        <w:t>2.</w:t>
      </w:r>
      <w:r>
        <w:rPr>
          <w:rFonts w:cs="Times New Roman" w:asciiTheme="minorEastAsia" w:hAnsiTheme="minorEastAsia" w:eastAsiaTheme="minorEastAsia"/>
          <w:b/>
          <w:bCs/>
          <w:color w:val="000000" w:themeColor="text1"/>
          <w:sz w:val="24"/>
          <w:szCs w:val="24"/>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适用的法律</w:t>
      </w:r>
      <w:bookmarkEnd w:id="169"/>
      <w:bookmarkEnd w:id="170"/>
      <w:bookmarkEnd w:id="171"/>
      <w:bookmarkEnd w:id="172"/>
      <w:bookmarkEnd w:id="173"/>
      <w:bookmarkEnd w:id="174"/>
    </w:p>
    <w:p w14:paraId="63E5F22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32503D5A">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16</w:t>
      </w:r>
      <w:r>
        <w:rPr>
          <w:rFonts w:hint="eastAsia" w:cs="Times New Roman" w:asciiTheme="minorEastAsia" w:hAnsiTheme="minorEastAsia" w:eastAsiaTheme="minorEastAsia"/>
          <w:color w:val="000000" w:themeColor="text1"/>
          <w:sz w:val="24"/>
          <w:szCs w:val="24"/>
          <w14:textFill>
            <w14:solidFill>
              <w14:schemeClr w14:val="tx1"/>
            </w14:solidFill>
          </w14:textFill>
        </w:rPr>
        <w:t>.2合同适用</w:t>
      </w:r>
      <w:r>
        <w:rPr>
          <w:rFonts w:cs="Times New Roman" w:asciiTheme="minorEastAsia" w:hAnsiTheme="minorEastAsia" w:eastAsiaTheme="minorEastAsia"/>
          <w:color w:val="000000" w:themeColor="text1"/>
          <w:sz w:val="24"/>
          <w:szCs w:val="24"/>
          <w14:textFill>
            <w14:solidFill>
              <w14:schemeClr w14:val="tx1"/>
            </w14:solidFill>
          </w14:textFill>
        </w:rPr>
        <w:t>中华人民共和国法律。</w:t>
      </w:r>
    </w:p>
    <w:p w14:paraId="61F38DBC">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75" w:name="_Toc16673"/>
      <w:bookmarkStart w:id="176" w:name="_Toc3148"/>
      <w:bookmarkStart w:id="177" w:name="_Toc12004"/>
      <w:bookmarkStart w:id="178" w:name="_Toc279701264"/>
      <w:bookmarkStart w:id="179" w:name="_Toc259093693"/>
      <w:bookmarkStart w:id="180" w:name="_Toc487900374"/>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履约保证金</w:t>
      </w:r>
      <w:bookmarkEnd w:id="175"/>
      <w:bookmarkEnd w:id="176"/>
      <w:bookmarkEnd w:id="177"/>
      <w:bookmarkEnd w:id="178"/>
      <w:bookmarkEnd w:id="179"/>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r>
        <w:rPr>
          <w:rFonts w:hint="eastAsia" w:cs="Times New Roman" w:asciiTheme="minorEastAsia" w:hAnsiTheme="minorEastAsia" w:eastAsiaTheme="minorEastAsia"/>
          <w:b/>
          <w:bCs/>
          <w:color w:val="000000" w:themeColor="text1"/>
          <w:sz w:val="24"/>
          <w:szCs w:val="24"/>
          <w:lang w:val="en-US" w:eastAsia="zh-CN"/>
          <w14:textFill>
            <w14:solidFill>
              <w14:schemeClr w14:val="tx1"/>
            </w14:solidFill>
          </w14:textFill>
        </w:rPr>
        <w:t>不采用</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w:t>
      </w:r>
    </w:p>
    <w:p w14:paraId="69B99F00">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2.</w:t>
      </w:r>
      <w:r>
        <w:rPr>
          <w:rFonts w:cs="Times New Roman" w:asciiTheme="minorEastAsia" w:hAnsiTheme="minorEastAsia" w:eastAsiaTheme="minorEastAsia"/>
          <w:color w:val="000000" w:themeColor="text1"/>
          <w:sz w:val="24"/>
          <w:szCs w:val="24"/>
          <w14:textFill>
            <w14:solidFill>
              <w14:schemeClr w14:val="tx1"/>
            </w14:solidFill>
          </w14:textFill>
        </w:rPr>
        <w:t>17</w:t>
      </w:r>
      <w:r>
        <w:rPr>
          <w:rFonts w:hint="eastAsia" w:cs="Times New Roman" w:asciiTheme="minorEastAsia" w:hAnsiTheme="minorEastAsia" w:eastAsiaTheme="minorEastAsia"/>
          <w:color w:val="000000" w:themeColor="text1"/>
          <w:sz w:val="24"/>
          <w:szCs w:val="24"/>
          <w14:textFill>
            <w14:solidFill>
              <w14:schemeClr w14:val="tx1"/>
            </w14:solidFill>
          </w14:textFill>
        </w:rPr>
        <w:t>.1采购文件要求乙方提交履约保证金的，乙方</w:t>
      </w:r>
      <w:r>
        <w:rPr>
          <w:rFonts w:cs="Times New Roman" w:asciiTheme="minorEastAsia" w:hAnsiTheme="minorEastAsia" w:eastAsiaTheme="minorEastAsia"/>
          <w:color w:val="000000" w:themeColor="text1"/>
          <w:sz w:val="24"/>
          <w:szCs w:val="24"/>
          <w14:textFill>
            <w14:solidFill>
              <w14:schemeClr w14:val="tx1"/>
            </w14:solidFill>
          </w14:textFill>
        </w:rPr>
        <w:t>应按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约定的方式</w:t>
      </w:r>
      <w:r>
        <w:rPr>
          <w:rFonts w:hint="eastAsia" w:cs="Times New Roman" w:asciiTheme="minorEastAsia" w:hAnsiTheme="minorEastAsia" w:eastAsiaTheme="minorEastAsia"/>
          <w:color w:val="000000" w:themeColor="text1"/>
          <w:sz w:val="24"/>
          <w:szCs w:val="24"/>
          <w14:textFill>
            <w14:solidFill>
              <w14:schemeClr w14:val="tx1"/>
            </w14:solidFill>
          </w14:textFill>
        </w:rPr>
        <w:t>，以支票、汇票、本票或者金融机构、担保机构出具的保函等非现金形式提交；</w:t>
      </w:r>
    </w:p>
    <w:p w14:paraId="65746099">
      <w:pPr>
        <w:spacing w:line="360" w:lineRule="auto"/>
        <w:ind w:firstLine="435"/>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应承担违约责任。</w:t>
      </w:r>
    </w:p>
    <w:p w14:paraId="31618AF1">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如果乙方不履行合同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，履约保证金不予退还；如果乙方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未能按合同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约</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定全面履行义务，那么甲方有权从履约保证金中取得补偿</w:t>
      </w:r>
      <w:r>
        <w:rPr>
          <w:rFonts w:cs="Times New Roman" w:asciiTheme="minorEastAsia" w:hAnsiTheme="minorEastAsia" w:eastAsiaTheme="minorEastAsia"/>
          <w:color w:val="000000" w:themeColor="text1"/>
          <w:sz w:val="24"/>
          <w:szCs w:val="24"/>
          <w14:textFill>
            <w14:solidFill>
              <w14:schemeClr w14:val="tx1"/>
            </w14:solidFill>
          </w14:textFill>
        </w:rPr>
        <w:t>或赔偿</w:t>
      </w:r>
      <w:r>
        <w:rPr>
          <w:rFonts w:hint="eastAsia" w:cs="Times New Roman" w:asciiTheme="minorEastAsia" w:hAnsiTheme="minorEastAsia" w:eastAsiaTheme="minorEastAsia"/>
          <w:color w:val="000000" w:themeColor="text1"/>
          <w:sz w:val="24"/>
          <w:szCs w:val="24"/>
          <w14:textFill>
            <w14:solidFill>
              <w14:schemeClr w14:val="tx1"/>
            </w14:solidFill>
          </w14:textFill>
        </w:rPr>
        <w:t>，同时不影响甲方要求乙方承担合同约定的超过履约保证金的违约责任的权利。</w:t>
      </w:r>
    </w:p>
    <w:bookmarkEnd w:id="180"/>
    <w:p w14:paraId="587DE613">
      <w:pPr>
        <w:spacing w:line="360" w:lineRule="auto"/>
        <w:ind w:firstLine="437"/>
        <w:outlineLvl w:val="2"/>
        <w:rPr>
          <w:rFonts w:cs="Times New Roman" w:asciiTheme="minorEastAsia" w:hAnsiTheme="minorEastAsia" w:eastAsiaTheme="minorEastAsia"/>
          <w:b/>
          <w:color w:val="000000" w:themeColor="text1"/>
          <w:sz w:val="24"/>
          <w:szCs w:val="24"/>
          <w14:textFill>
            <w14:solidFill>
              <w14:schemeClr w14:val="tx1"/>
            </w14:solidFill>
          </w14:textFill>
        </w:rPr>
      </w:pPr>
      <w:bookmarkStart w:id="181" w:name="_Toc6885"/>
      <w:bookmarkStart w:id="182" w:name="_Toc19890"/>
      <w:bookmarkStart w:id="183" w:name="_Toc14001"/>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lang w:val="zh-CN"/>
          <w14:textFill>
            <w14:solidFill>
              <w14:schemeClr w14:val="tx1"/>
            </w14:solidFill>
          </w14:textFill>
        </w:rPr>
        <w:t>18</w:t>
      </w:r>
      <w:r>
        <w:rPr>
          <w:rFonts w:hint="eastAsia" w:cs="Times New Roman" w:asciiTheme="minorEastAsia" w:hAnsiTheme="minorEastAsia" w:eastAsiaTheme="minorEastAsia"/>
          <w:b/>
          <w:bCs/>
          <w:color w:val="000000" w:themeColor="text1"/>
          <w:sz w:val="24"/>
          <w:szCs w:val="24"/>
          <w:lang w:val="zh-CN"/>
          <w14:textFill>
            <w14:solidFill>
              <w14:schemeClr w14:val="tx1"/>
            </w14:solidFill>
          </w14:textFill>
        </w:rPr>
        <w:t xml:space="preserve"> 合同份数</w:t>
      </w:r>
      <w:bookmarkEnd w:id="181"/>
      <w:bookmarkEnd w:id="182"/>
      <w:bookmarkEnd w:id="183"/>
    </w:p>
    <w:p w14:paraId="0C1FC0D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p w14:paraId="44612C18">
      <w:pPr>
        <w:spacing w:line="360" w:lineRule="auto"/>
        <w:jc w:val="center"/>
        <w:outlineLvl w:val="1"/>
        <w:rPr>
          <w:rFonts w:asciiTheme="minorEastAsia" w:hAnsiTheme="minorEastAsia" w:eastAsiaTheme="minorEastAsia"/>
          <w:b/>
          <w:color w:val="000000" w:themeColor="text1"/>
          <w:sz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br w:type="page"/>
      </w:r>
      <w:bookmarkStart w:id="184" w:name="_Toc3736"/>
      <w:r>
        <w:rPr>
          <w:rFonts w:hint="eastAsia" w:asciiTheme="minorEastAsia" w:hAnsiTheme="minorEastAsia" w:eastAsiaTheme="minorEastAsia"/>
          <w:b/>
          <w:color w:val="000000" w:themeColor="text1"/>
          <w:sz w:val="24"/>
          <w14:textFill>
            <w14:solidFill>
              <w14:schemeClr w14:val="tx1"/>
            </w14:solidFill>
          </w14:textFill>
        </w:rPr>
        <w:t>第三部分</w:t>
      </w:r>
      <w:r>
        <w:rPr>
          <w:rFonts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b/>
          <w:color w:val="000000" w:themeColor="text1"/>
          <w:sz w:val="24"/>
          <w14:textFill>
            <w14:solidFill>
              <w14:schemeClr w14:val="tx1"/>
            </w14:solidFill>
          </w14:textFill>
        </w:rPr>
        <w:t>合同专用条款</w:t>
      </w:r>
      <w:bookmarkEnd w:id="184"/>
    </w:p>
    <w:p w14:paraId="7BC06AEB">
      <w:pPr>
        <w:spacing w:line="360" w:lineRule="auto"/>
        <w:ind w:firstLine="435"/>
        <w:rPr>
          <w:rFonts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本部分</w:t>
      </w:r>
      <w:r>
        <w:rPr>
          <w:rFonts w:cs="Times New Roman" w:asciiTheme="minorEastAsia" w:hAnsiTheme="minorEastAsia" w:eastAsiaTheme="minorEastAsia"/>
          <w:color w:val="000000" w:themeColor="text1"/>
          <w:sz w:val="24"/>
          <w:szCs w:val="24"/>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14:textFill>
            <w14:solidFill>
              <w14:schemeClr w14:val="tx1"/>
            </w14:solidFill>
          </w14:textFill>
        </w:rPr>
        <w:t>前两</w:t>
      </w:r>
      <w:r>
        <w:rPr>
          <w:rFonts w:cs="Times New Roman" w:asciiTheme="minorEastAsia" w:hAnsiTheme="minorEastAsia" w:eastAsiaTheme="minorEastAsia"/>
          <w:color w:val="000000" w:themeColor="text1"/>
          <w:sz w:val="24"/>
          <w:szCs w:val="24"/>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14:textFill>
            <w14:solidFill>
              <w14:schemeClr w14:val="tx1"/>
            </w14:solidFill>
          </w14:textFill>
        </w:rPr>
        <w:t>。</w:t>
      </w:r>
      <w:r>
        <w:rPr>
          <w:rFonts w:cs="Times New Roman" w:asciiTheme="minorEastAsia" w:hAnsiTheme="minorEastAsia" w:eastAsiaTheme="minorEastAsia"/>
          <w:color w:val="000000" w:themeColor="text1"/>
          <w:sz w:val="24"/>
          <w:szCs w:val="24"/>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14:textFill>
            <w14:solidFill>
              <w14:schemeClr w14:val="tx1"/>
            </w14:solidFill>
          </w14:textFill>
        </w:rPr>
        <w:t>前两部分</w:t>
      </w:r>
      <w:r>
        <w:rPr>
          <w:rFonts w:cs="Times New Roman" w:asciiTheme="minorEastAsia" w:hAnsiTheme="minorEastAsia" w:eastAsiaTheme="minorEastAsia"/>
          <w:color w:val="000000" w:themeColor="text1"/>
          <w:sz w:val="24"/>
          <w:szCs w:val="24"/>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14:textFill>
            <w14:solidFill>
              <w14:schemeClr w14:val="tx1"/>
            </w14:solidFill>
          </w14:textFill>
        </w:rPr>
        <w:t>；与前两部分</w:t>
      </w:r>
      <w:r>
        <w:rPr>
          <w:rFonts w:cs="Times New Roman" w:asciiTheme="minorEastAsia" w:hAnsiTheme="minorEastAsia" w:eastAsiaTheme="minorEastAsia"/>
          <w:color w:val="000000" w:themeColor="text1"/>
          <w:sz w:val="24"/>
          <w:szCs w:val="24"/>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14:textFill>
            <w14:solidFill>
              <w14:schemeClr w14:val="tx1"/>
            </w14:solidFill>
          </w14:textFill>
        </w:rPr>
        <w:t>。</w:t>
      </w:r>
    </w:p>
    <w:tbl>
      <w:tblPr>
        <w:tblStyle w:val="24"/>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12783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3A23DB64">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条款号</w:t>
            </w:r>
          </w:p>
        </w:tc>
        <w:tc>
          <w:tcPr>
            <w:tcW w:w="7568" w:type="dxa"/>
            <w:vAlign w:val="center"/>
          </w:tcPr>
          <w:p w14:paraId="66C8F249">
            <w:pPr>
              <w:jc w:val="center"/>
              <w:rPr>
                <w:rFonts w:cs="Times New Roman" w:asciiTheme="minorEastAsia" w:hAnsiTheme="minorEastAsia" w:eastAsiaTheme="minorEastAsia"/>
                <w:b/>
                <w:color w:val="000000" w:themeColor="text1"/>
                <w:sz w:val="24"/>
                <w:szCs w:val="24"/>
                <w14:textFill>
                  <w14:solidFill>
                    <w14:schemeClr w14:val="tx1"/>
                  </w14:solidFill>
                </w14:textFill>
              </w:rPr>
            </w:pPr>
            <w:r>
              <w:rPr>
                <w:rFonts w:cs="Times New Roman" w:asciiTheme="minorEastAsia" w:hAnsiTheme="minorEastAsia" w:eastAsiaTheme="minorEastAsia"/>
                <w:b/>
                <w:color w:val="000000" w:themeColor="text1"/>
                <w:sz w:val="24"/>
                <w:szCs w:val="24"/>
                <w14:textFill>
                  <w14:solidFill>
                    <w14:schemeClr w14:val="tx1"/>
                  </w14:solidFill>
                </w14:textFill>
              </w:rPr>
              <w:t>约定内容</w:t>
            </w:r>
          </w:p>
        </w:tc>
      </w:tr>
      <w:tr w14:paraId="04633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214A43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16C893B0">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2DBB2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jc w:val="center"/>
        </w:trPr>
        <w:tc>
          <w:tcPr>
            <w:tcW w:w="794" w:type="dxa"/>
            <w:tcBorders>
              <w:left w:val="single" w:color="auto" w:sz="4" w:space="0"/>
            </w:tcBorders>
            <w:vAlign w:val="center"/>
          </w:tcPr>
          <w:p w14:paraId="17026C6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5A029562">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6D52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1035E5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327FEFA">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6A2E8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48C9DF4">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3E725618">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669A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C6EE3EC">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315CA4C">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48987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01E072A">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7AFA813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11D6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AD50A9B">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6DEB89B3">
            <w:pPr>
              <w:spacing w:line="560" w:lineRule="exact"/>
              <w:rPr>
                <w:rFonts w:cs="Times New Roman" w:asciiTheme="minorEastAsia" w:hAnsiTheme="minorEastAsia" w:eastAsiaTheme="minorEastAsia"/>
                <w:color w:val="000000" w:themeColor="text1"/>
                <w:sz w:val="24"/>
                <w:szCs w:val="24"/>
                <w:u w:val="single"/>
                <w14:textFill>
                  <w14:solidFill>
                    <w14:schemeClr w14:val="tx1"/>
                  </w14:solidFill>
                </w14:textFill>
              </w:rPr>
            </w:pPr>
          </w:p>
        </w:tc>
      </w:tr>
      <w:tr w14:paraId="7039F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0AEA206F">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475684DF">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395A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028CB6D">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0D81D748">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789B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794" w:type="dxa"/>
            <w:tcBorders>
              <w:left w:val="single" w:color="auto" w:sz="4" w:space="0"/>
            </w:tcBorders>
            <w:vAlign w:val="center"/>
          </w:tcPr>
          <w:p w14:paraId="7BB45185">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vAlign w:val="center"/>
          </w:tcPr>
          <w:p w14:paraId="1E1550B3">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16DCA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1876F1E">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1998D44A">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r w14:paraId="3E70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3390346">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0D625EB3">
            <w:pPr>
              <w:spacing w:line="560" w:lineRule="exact"/>
              <w:rPr>
                <w:rFonts w:cs="Times New Roman" w:asciiTheme="minorEastAsia" w:hAnsiTheme="minorEastAsia" w:eastAsiaTheme="minorEastAsia"/>
                <w:color w:val="000000" w:themeColor="text1"/>
                <w:sz w:val="24"/>
                <w:szCs w:val="24"/>
                <w14:textFill>
                  <w14:solidFill>
                    <w14:schemeClr w14:val="tx1"/>
                  </w14:solidFill>
                </w14:textFill>
              </w:rPr>
            </w:pPr>
          </w:p>
        </w:tc>
      </w:tr>
    </w:tbl>
    <w:p w14:paraId="1AB3E33D">
      <w:pPr>
        <w:spacing w:line="360" w:lineRule="auto"/>
        <w:jc w:val="center"/>
        <w:outlineLvl w:val="0"/>
        <w:rPr>
          <w:rFonts w:hint="eastAsia" w:ascii="宋体" w:hAnsi="宋体" w:eastAsia="宋体" w:cs="宋体"/>
          <w:b/>
          <w:color w:val="auto"/>
          <w:sz w:val="28"/>
          <w:highlight w:val="none"/>
        </w:rPr>
      </w:pPr>
    </w:p>
    <w:p w14:paraId="35279C8D">
      <w:pPr>
        <w:spacing w:line="360" w:lineRule="auto"/>
        <w:jc w:val="center"/>
        <w:outlineLvl w:val="0"/>
        <w:rPr>
          <w:rFonts w:hint="eastAsia" w:ascii="宋体" w:hAnsi="宋体" w:eastAsia="宋体" w:cs="宋体"/>
          <w:b/>
          <w:color w:val="auto"/>
          <w:sz w:val="28"/>
          <w:highlight w:val="none"/>
        </w:rPr>
      </w:pPr>
    </w:p>
    <w:p w14:paraId="55E5DA8E">
      <w:pPr>
        <w:spacing w:line="360" w:lineRule="auto"/>
        <w:jc w:val="center"/>
        <w:outlineLvl w:val="0"/>
        <w:rPr>
          <w:rFonts w:hint="eastAsia" w:ascii="宋体" w:hAnsi="宋体" w:eastAsia="宋体" w:cs="宋体"/>
          <w:b/>
          <w:color w:val="auto"/>
          <w:sz w:val="28"/>
          <w:highlight w:val="none"/>
        </w:rPr>
      </w:pPr>
    </w:p>
    <w:p w14:paraId="1A8891E6">
      <w:pPr>
        <w:spacing w:line="360" w:lineRule="auto"/>
        <w:jc w:val="center"/>
        <w:outlineLvl w:val="0"/>
        <w:rPr>
          <w:rFonts w:hint="eastAsia" w:ascii="宋体" w:hAnsi="宋体" w:eastAsia="宋体" w:cs="宋体"/>
          <w:b/>
          <w:color w:val="auto"/>
          <w:sz w:val="28"/>
          <w:highlight w:val="none"/>
        </w:rPr>
      </w:pPr>
    </w:p>
    <w:p w14:paraId="61738DCC">
      <w:pPr>
        <w:spacing w:line="360" w:lineRule="auto"/>
        <w:jc w:val="center"/>
        <w:outlineLvl w:val="0"/>
        <w:rPr>
          <w:rFonts w:hint="eastAsia" w:ascii="宋体" w:hAnsi="宋体" w:eastAsia="宋体" w:cs="宋体"/>
          <w:b/>
          <w:color w:val="auto"/>
          <w:sz w:val="28"/>
          <w:highlight w:val="none"/>
        </w:rPr>
      </w:pPr>
    </w:p>
    <w:p w14:paraId="627CD398">
      <w:pPr>
        <w:spacing w:line="360" w:lineRule="auto"/>
        <w:jc w:val="center"/>
        <w:outlineLvl w:val="0"/>
        <w:rPr>
          <w:rFonts w:hint="eastAsia" w:ascii="宋体" w:hAnsi="宋体" w:eastAsia="宋体" w:cs="宋体"/>
          <w:b/>
          <w:color w:val="auto"/>
          <w:sz w:val="28"/>
          <w:highlight w:val="none"/>
        </w:rPr>
      </w:pPr>
    </w:p>
    <w:p w14:paraId="2585F957">
      <w:pPr>
        <w:spacing w:line="360" w:lineRule="auto"/>
        <w:jc w:val="center"/>
        <w:outlineLvl w:val="0"/>
        <w:rPr>
          <w:rFonts w:hint="eastAsia" w:ascii="宋体" w:hAnsi="宋体" w:eastAsia="宋体" w:cs="宋体"/>
          <w:b/>
          <w:color w:val="auto"/>
          <w:sz w:val="28"/>
          <w:highlight w:val="none"/>
        </w:rPr>
      </w:pPr>
    </w:p>
    <w:p w14:paraId="58D12B2C">
      <w:pPr>
        <w:spacing w:line="360" w:lineRule="auto"/>
        <w:jc w:val="center"/>
        <w:outlineLvl w:val="0"/>
        <w:rPr>
          <w:rFonts w:hint="eastAsia" w:ascii="宋体" w:hAnsi="宋体" w:eastAsia="宋体" w:cs="宋体"/>
          <w:b/>
          <w:color w:val="auto"/>
          <w:sz w:val="28"/>
          <w:highlight w:val="none"/>
        </w:rPr>
      </w:pPr>
    </w:p>
    <w:p w14:paraId="6705A43D">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44"/>
    </w:p>
    <w:p w14:paraId="3CF3B915">
      <w:pPr>
        <w:spacing w:line="900" w:lineRule="exact"/>
        <w:jc w:val="center"/>
        <w:rPr>
          <w:rFonts w:hint="eastAsia" w:ascii="宋体" w:hAnsi="宋体" w:eastAsia="宋体" w:cs="宋体"/>
          <w:b/>
          <w:color w:val="auto"/>
          <w:sz w:val="72"/>
          <w:highlight w:val="none"/>
        </w:rPr>
      </w:pPr>
    </w:p>
    <w:p w14:paraId="5D4671F0">
      <w:pPr>
        <w:spacing w:line="900" w:lineRule="exact"/>
        <w:jc w:val="center"/>
        <w:outlineLvl w:val="1"/>
        <w:rPr>
          <w:rFonts w:hint="eastAsia" w:ascii="宋体" w:hAnsi="宋体" w:eastAsia="宋体" w:cs="宋体"/>
          <w:b/>
          <w:color w:val="auto"/>
          <w:sz w:val="72"/>
          <w:highlight w:val="none"/>
        </w:rPr>
      </w:pPr>
      <w:bookmarkStart w:id="185" w:name="_Toc5119"/>
      <w:r>
        <w:rPr>
          <w:rFonts w:hint="eastAsia" w:ascii="宋体" w:hAnsi="宋体" w:eastAsia="宋体" w:cs="宋体"/>
          <w:b/>
          <w:color w:val="auto"/>
          <w:sz w:val="72"/>
          <w:highlight w:val="none"/>
        </w:rPr>
        <w:t>投</w:t>
      </w:r>
      <w:bookmarkEnd w:id="185"/>
    </w:p>
    <w:p w14:paraId="635D6149">
      <w:pPr>
        <w:spacing w:line="900" w:lineRule="exact"/>
        <w:jc w:val="center"/>
        <w:rPr>
          <w:rFonts w:hint="eastAsia" w:ascii="宋体" w:hAnsi="宋体" w:eastAsia="宋体" w:cs="宋体"/>
          <w:b/>
          <w:color w:val="auto"/>
          <w:sz w:val="72"/>
          <w:highlight w:val="none"/>
        </w:rPr>
      </w:pPr>
    </w:p>
    <w:p w14:paraId="112B17B0">
      <w:pPr>
        <w:spacing w:line="900" w:lineRule="exact"/>
        <w:jc w:val="center"/>
        <w:outlineLvl w:val="1"/>
        <w:rPr>
          <w:rFonts w:hint="eastAsia" w:ascii="宋体" w:hAnsi="宋体" w:eastAsia="宋体" w:cs="宋体"/>
          <w:b/>
          <w:color w:val="auto"/>
          <w:sz w:val="72"/>
          <w:highlight w:val="none"/>
        </w:rPr>
      </w:pPr>
      <w:bookmarkStart w:id="186" w:name="_Toc4782"/>
      <w:r>
        <w:rPr>
          <w:rFonts w:hint="eastAsia" w:ascii="宋体" w:hAnsi="宋体" w:eastAsia="宋体" w:cs="宋体"/>
          <w:b/>
          <w:color w:val="auto"/>
          <w:sz w:val="72"/>
          <w:highlight w:val="none"/>
        </w:rPr>
        <w:t>标</w:t>
      </w:r>
      <w:bookmarkEnd w:id="186"/>
    </w:p>
    <w:p w14:paraId="79920DEF">
      <w:pPr>
        <w:spacing w:line="900" w:lineRule="exact"/>
        <w:jc w:val="center"/>
        <w:rPr>
          <w:rFonts w:hint="eastAsia" w:ascii="宋体" w:hAnsi="宋体" w:eastAsia="宋体" w:cs="宋体"/>
          <w:b/>
          <w:color w:val="auto"/>
          <w:sz w:val="72"/>
          <w:highlight w:val="none"/>
        </w:rPr>
      </w:pPr>
    </w:p>
    <w:p w14:paraId="73836EA7">
      <w:pPr>
        <w:spacing w:line="900" w:lineRule="exact"/>
        <w:jc w:val="center"/>
        <w:outlineLvl w:val="1"/>
        <w:rPr>
          <w:rFonts w:hint="eastAsia" w:ascii="宋体" w:hAnsi="宋体" w:eastAsia="宋体" w:cs="宋体"/>
          <w:b/>
          <w:color w:val="auto"/>
          <w:sz w:val="72"/>
          <w:highlight w:val="none"/>
        </w:rPr>
      </w:pPr>
      <w:bookmarkStart w:id="187" w:name="_Toc19607"/>
      <w:r>
        <w:rPr>
          <w:rFonts w:hint="eastAsia" w:ascii="宋体" w:hAnsi="宋体" w:eastAsia="宋体" w:cs="宋体"/>
          <w:b/>
          <w:color w:val="auto"/>
          <w:sz w:val="72"/>
          <w:highlight w:val="none"/>
        </w:rPr>
        <w:t>文</w:t>
      </w:r>
      <w:bookmarkEnd w:id="187"/>
    </w:p>
    <w:p w14:paraId="6E39AFDC">
      <w:pPr>
        <w:spacing w:line="900" w:lineRule="exact"/>
        <w:jc w:val="center"/>
        <w:rPr>
          <w:rFonts w:hint="eastAsia" w:ascii="宋体" w:hAnsi="宋体" w:eastAsia="宋体" w:cs="宋体"/>
          <w:b/>
          <w:color w:val="auto"/>
          <w:sz w:val="72"/>
          <w:highlight w:val="none"/>
        </w:rPr>
      </w:pPr>
    </w:p>
    <w:p w14:paraId="3E40A1CC">
      <w:pPr>
        <w:jc w:val="center"/>
        <w:outlineLvl w:val="1"/>
        <w:rPr>
          <w:rFonts w:hint="eastAsia" w:ascii="宋体" w:hAnsi="宋体" w:eastAsia="宋体" w:cs="宋体"/>
          <w:b/>
          <w:color w:val="auto"/>
          <w:sz w:val="72"/>
          <w:highlight w:val="none"/>
        </w:rPr>
      </w:pPr>
      <w:bookmarkStart w:id="188" w:name="_Toc8365"/>
      <w:r>
        <w:rPr>
          <w:rFonts w:hint="eastAsia" w:ascii="宋体" w:hAnsi="宋体" w:eastAsia="宋体" w:cs="宋体"/>
          <w:b/>
          <w:color w:val="auto"/>
          <w:sz w:val="72"/>
          <w:highlight w:val="none"/>
        </w:rPr>
        <w:t>件</w:t>
      </w:r>
      <w:bookmarkEnd w:id="188"/>
    </w:p>
    <w:p w14:paraId="7353E53B">
      <w:pPr>
        <w:spacing w:after="156" w:afterLines="50"/>
        <w:jc w:val="center"/>
        <w:rPr>
          <w:rFonts w:hint="eastAsia" w:ascii="宋体" w:hAnsi="宋体" w:eastAsia="宋体" w:cs="宋体"/>
          <w:b/>
          <w:color w:val="auto"/>
          <w:sz w:val="72"/>
          <w:highlight w:val="none"/>
        </w:rPr>
      </w:pPr>
    </w:p>
    <w:p w14:paraId="7AC9C3FD">
      <w:pPr>
        <w:spacing w:before="156" w:beforeLines="50" w:after="156" w:afterLines="5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lang w:val="en-US" w:eastAsia="zh-CN"/>
        </w:rPr>
        <w:t>资信部分</w:t>
      </w:r>
      <w:r>
        <w:rPr>
          <w:rFonts w:hint="eastAsia" w:ascii="宋体" w:hAnsi="宋体" w:eastAsia="宋体" w:cs="宋体"/>
          <w:b/>
          <w:color w:val="auto"/>
          <w:sz w:val="44"/>
          <w:szCs w:val="44"/>
          <w:highlight w:val="none"/>
          <w:lang w:eastAsia="zh-CN"/>
        </w:rPr>
        <w:t>）</w:t>
      </w:r>
    </w:p>
    <w:p w14:paraId="422E4AF3">
      <w:pPr>
        <w:spacing w:after="156" w:afterLines="50" w:line="500" w:lineRule="exact"/>
        <w:jc w:val="center"/>
        <w:rPr>
          <w:rFonts w:hint="eastAsia" w:ascii="宋体" w:hAnsi="宋体" w:eastAsia="宋体" w:cs="宋体"/>
          <w:b/>
          <w:color w:val="auto"/>
          <w:sz w:val="28"/>
          <w:szCs w:val="28"/>
          <w:highlight w:val="none"/>
        </w:rPr>
      </w:pPr>
    </w:p>
    <w:p w14:paraId="4957C6C1">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361354A8">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64096A05">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31B7568B">
      <w:pPr>
        <w:spacing w:after="156" w:afterLines="50" w:line="5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bookmarkStart w:id="189" w:name="_Toc19687"/>
      <w:bookmarkStart w:id="190" w:name="_Toc8037"/>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189"/>
      <w:bookmarkEnd w:id="190"/>
    </w:p>
    <w:p w14:paraId="6BE06E46">
      <w:pPr>
        <w:widowControl/>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br w:type="page"/>
      </w:r>
      <w:r>
        <w:rPr>
          <w:rFonts w:hint="eastAsia" w:ascii="宋体" w:hAnsi="宋体" w:eastAsia="宋体" w:cs="宋体"/>
          <w:b/>
          <w:color w:val="auto"/>
          <w:sz w:val="28"/>
          <w:highlight w:val="none"/>
          <w:lang w:val="en-US" w:eastAsia="zh-CN"/>
        </w:rPr>
        <w:t>目  录</w:t>
      </w:r>
    </w:p>
    <w:p w14:paraId="3BE61E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6453937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（2）诚信投标承诺书；（格式见附件）</w:t>
      </w:r>
    </w:p>
    <w:p w14:paraId="15A6D0C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5CF73A0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（格式见附件）</w:t>
      </w:r>
    </w:p>
    <w:p w14:paraId="62D8DF82">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（5）资信部分评审需要或投标人认为需要提供的其他评审及证明材料</w:t>
      </w:r>
    </w:p>
    <w:p w14:paraId="2237C24D">
      <w:pPr>
        <w:spacing w:line="360" w:lineRule="auto"/>
        <w:ind w:firstLine="435"/>
        <w:rPr>
          <w:rFonts w:hint="eastAsia" w:ascii="宋体" w:hAnsi="宋体" w:eastAsia="宋体" w:cs="宋体"/>
          <w:color w:val="auto"/>
          <w:sz w:val="24"/>
          <w:highlight w:val="none"/>
          <w:lang w:val="en-US" w:eastAsia="zh-CN"/>
        </w:rPr>
      </w:pPr>
    </w:p>
    <w:p w14:paraId="19B637E1">
      <w:pPr>
        <w:spacing w:line="360" w:lineRule="auto"/>
        <w:ind w:firstLine="435"/>
        <w:rPr>
          <w:rFonts w:hint="eastAsia" w:ascii="宋体" w:hAnsi="宋体" w:eastAsia="宋体" w:cs="宋体"/>
          <w:color w:val="auto"/>
          <w:sz w:val="24"/>
          <w:highlight w:val="none"/>
          <w:lang w:val="en-US" w:eastAsia="zh-CN"/>
        </w:rPr>
      </w:pPr>
    </w:p>
    <w:p w14:paraId="16B2516C">
      <w:pPr>
        <w:spacing w:line="360" w:lineRule="auto"/>
        <w:ind w:firstLine="435"/>
        <w:rPr>
          <w:rFonts w:hint="eastAsia" w:ascii="宋体" w:hAnsi="宋体" w:eastAsia="宋体" w:cs="宋体"/>
          <w:color w:val="auto"/>
          <w:sz w:val="24"/>
          <w:highlight w:val="none"/>
          <w:lang w:val="en-US" w:eastAsia="zh-CN"/>
        </w:rPr>
      </w:pPr>
    </w:p>
    <w:p w14:paraId="25162C5C">
      <w:pPr>
        <w:spacing w:line="360" w:lineRule="auto"/>
        <w:ind w:firstLine="435"/>
        <w:rPr>
          <w:rFonts w:hint="eastAsia" w:ascii="宋体" w:hAnsi="宋体" w:eastAsia="宋体" w:cs="宋体"/>
          <w:color w:val="auto"/>
          <w:sz w:val="24"/>
          <w:highlight w:val="none"/>
          <w:lang w:val="en-US" w:eastAsia="zh-CN"/>
        </w:rPr>
      </w:pPr>
    </w:p>
    <w:p w14:paraId="6719EB2E">
      <w:pPr>
        <w:spacing w:line="360" w:lineRule="auto"/>
        <w:ind w:firstLine="435"/>
        <w:rPr>
          <w:rFonts w:hint="eastAsia" w:ascii="宋体" w:hAnsi="宋体" w:eastAsia="宋体" w:cs="宋体"/>
          <w:color w:val="auto"/>
          <w:sz w:val="24"/>
          <w:highlight w:val="none"/>
          <w:lang w:val="en-US" w:eastAsia="zh-CN"/>
        </w:rPr>
      </w:pPr>
    </w:p>
    <w:p w14:paraId="10BF2A21">
      <w:pPr>
        <w:spacing w:line="360" w:lineRule="auto"/>
        <w:ind w:firstLine="435"/>
        <w:rPr>
          <w:rFonts w:hint="eastAsia" w:ascii="宋体" w:hAnsi="宋体" w:eastAsia="宋体" w:cs="宋体"/>
          <w:color w:val="auto"/>
          <w:sz w:val="24"/>
          <w:highlight w:val="none"/>
          <w:lang w:val="en-US" w:eastAsia="zh-CN"/>
        </w:rPr>
      </w:pPr>
    </w:p>
    <w:p w14:paraId="2EBA7F16">
      <w:pPr>
        <w:spacing w:line="360" w:lineRule="auto"/>
        <w:ind w:firstLine="435"/>
        <w:rPr>
          <w:rFonts w:hint="eastAsia" w:ascii="宋体" w:hAnsi="宋体" w:eastAsia="宋体" w:cs="宋体"/>
          <w:color w:val="auto"/>
          <w:sz w:val="24"/>
          <w:highlight w:val="none"/>
          <w:lang w:val="en-US" w:eastAsia="zh-CN"/>
        </w:rPr>
      </w:pPr>
    </w:p>
    <w:p w14:paraId="2BAFE94E">
      <w:pPr>
        <w:spacing w:line="360" w:lineRule="auto"/>
        <w:ind w:firstLine="435"/>
        <w:rPr>
          <w:rFonts w:hint="eastAsia" w:ascii="宋体" w:hAnsi="宋体" w:eastAsia="宋体" w:cs="宋体"/>
          <w:color w:val="auto"/>
          <w:sz w:val="24"/>
          <w:highlight w:val="none"/>
          <w:lang w:val="en-US" w:eastAsia="zh-CN"/>
        </w:rPr>
      </w:pPr>
    </w:p>
    <w:p w14:paraId="4C946BC5">
      <w:pPr>
        <w:spacing w:line="360" w:lineRule="auto"/>
        <w:ind w:firstLine="435"/>
        <w:rPr>
          <w:rFonts w:hint="eastAsia" w:ascii="宋体" w:hAnsi="宋体" w:eastAsia="宋体" w:cs="宋体"/>
          <w:color w:val="auto"/>
          <w:sz w:val="24"/>
          <w:highlight w:val="none"/>
          <w:lang w:val="en-US" w:eastAsia="zh-CN"/>
        </w:rPr>
      </w:pPr>
    </w:p>
    <w:p w14:paraId="7F1E6170">
      <w:pPr>
        <w:spacing w:line="360" w:lineRule="auto"/>
        <w:ind w:firstLine="435"/>
        <w:rPr>
          <w:rFonts w:hint="eastAsia" w:ascii="宋体" w:hAnsi="宋体" w:eastAsia="宋体" w:cs="宋体"/>
          <w:color w:val="auto"/>
          <w:sz w:val="24"/>
          <w:highlight w:val="none"/>
          <w:lang w:val="en-US" w:eastAsia="zh-CN"/>
        </w:rPr>
      </w:pPr>
    </w:p>
    <w:p w14:paraId="1046D32F">
      <w:pPr>
        <w:spacing w:line="360" w:lineRule="auto"/>
        <w:ind w:firstLine="435"/>
        <w:rPr>
          <w:rFonts w:hint="eastAsia" w:ascii="宋体" w:hAnsi="宋体" w:eastAsia="宋体" w:cs="宋体"/>
          <w:color w:val="auto"/>
          <w:sz w:val="24"/>
          <w:highlight w:val="none"/>
          <w:lang w:val="en-US" w:eastAsia="zh-CN"/>
        </w:rPr>
      </w:pPr>
    </w:p>
    <w:p w14:paraId="6AADDE01">
      <w:pPr>
        <w:spacing w:line="360" w:lineRule="auto"/>
        <w:ind w:firstLine="435"/>
        <w:rPr>
          <w:rFonts w:hint="eastAsia" w:ascii="宋体" w:hAnsi="宋体" w:eastAsia="宋体" w:cs="宋体"/>
          <w:color w:val="auto"/>
          <w:sz w:val="24"/>
          <w:highlight w:val="none"/>
          <w:lang w:val="en-US" w:eastAsia="zh-CN"/>
        </w:rPr>
      </w:pPr>
    </w:p>
    <w:p w14:paraId="4E101FBE">
      <w:pPr>
        <w:spacing w:line="360" w:lineRule="auto"/>
        <w:ind w:firstLine="435"/>
        <w:rPr>
          <w:rFonts w:hint="eastAsia" w:ascii="宋体" w:hAnsi="宋体" w:eastAsia="宋体" w:cs="宋体"/>
          <w:color w:val="auto"/>
          <w:sz w:val="24"/>
          <w:highlight w:val="none"/>
          <w:lang w:val="en-US" w:eastAsia="zh-CN"/>
        </w:rPr>
      </w:pPr>
    </w:p>
    <w:p w14:paraId="1C83A19A">
      <w:pPr>
        <w:spacing w:line="360" w:lineRule="auto"/>
        <w:ind w:firstLine="435"/>
        <w:rPr>
          <w:rFonts w:hint="eastAsia" w:ascii="宋体" w:hAnsi="宋体" w:eastAsia="宋体" w:cs="宋体"/>
          <w:color w:val="auto"/>
          <w:sz w:val="24"/>
          <w:highlight w:val="none"/>
          <w:lang w:val="en-US" w:eastAsia="zh-CN"/>
        </w:rPr>
      </w:pPr>
    </w:p>
    <w:p w14:paraId="1880B492">
      <w:pPr>
        <w:spacing w:line="360" w:lineRule="auto"/>
        <w:ind w:firstLine="435"/>
        <w:rPr>
          <w:rFonts w:hint="eastAsia" w:ascii="宋体" w:hAnsi="宋体" w:eastAsia="宋体" w:cs="宋体"/>
          <w:color w:val="auto"/>
          <w:sz w:val="24"/>
          <w:highlight w:val="none"/>
          <w:lang w:val="en-US" w:eastAsia="zh-CN"/>
        </w:rPr>
      </w:pPr>
    </w:p>
    <w:p w14:paraId="04D40A39">
      <w:pPr>
        <w:spacing w:line="360" w:lineRule="auto"/>
        <w:ind w:firstLine="435"/>
        <w:rPr>
          <w:rFonts w:hint="eastAsia" w:ascii="宋体" w:hAnsi="宋体" w:eastAsia="宋体" w:cs="宋体"/>
          <w:color w:val="auto"/>
          <w:sz w:val="24"/>
          <w:highlight w:val="none"/>
          <w:lang w:val="en-US" w:eastAsia="zh-CN"/>
        </w:rPr>
      </w:pPr>
    </w:p>
    <w:p w14:paraId="4128AB9B">
      <w:pPr>
        <w:spacing w:line="360" w:lineRule="auto"/>
        <w:ind w:firstLine="435"/>
        <w:rPr>
          <w:rFonts w:hint="eastAsia" w:ascii="宋体" w:hAnsi="宋体" w:eastAsia="宋体" w:cs="宋体"/>
          <w:color w:val="auto"/>
          <w:sz w:val="24"/>
          <w:highlight w:val="none"/>
          <w:lang w:val="en-US" w:eastAsia="zh-CN"/>
        </w:rPr>
      </w:pPr>
    </w:p>
    <w:p w14:paraId="6FF9660B">
      <w:pPr>
        <w:spacing w:line="360" w:lineRule="auto"/>
        <w:ind w:firstLine="435"/>
        <w:rPr>
          <w:rFonts w:hint="eastAsia" w:ascii="宋体" w:hAnsi="宋体" w:eastAsia="宋体" w:cs="宋体"/>
          <w:color w:val="auto"/>
          <w:sz w:val="24"/>
          <w:highlight w:val="none"/>
          <w:lang w:val="en-US" w:eastAsia="zh-CN"/>
        </w:rPr>
      </w:pPr>
    </w:p>
    <w:p w14:paraId="4BCFE711">
      <w:pPr>
        <w:spacing w:line="360" w:lineRule="auto"/>
        <w:ind w:firstLine="435"/>
        <w:rPr>
          <w:rFonts w:hint="eastAsia" w:ascii="宋体" w:hAnsi="宋体" w:eastAsia="宋体" w:cs="宋体"/>
          <w:color w:val="auto"/>
          <w:sz w:val="24"/>
          <w:highlight w:val="none"/>
          <w:lang w:val="en-US" w:eastAsia="zh-CN"/>
        </w:rPr>
      </w:pPr>
    </w:p>
    <w:p w14:paraId="6EA9DE71">
      <w:pPr>
        <w:spacing w:line="360" w:lineRule="auto"/>
        <w:ind w:firstLine="435"/>
        <w:rPr>
          <w:rFonts w:hint="eastAsia" w:ascii="宋体" w:hAnsi="宋体" w:eastAsia="宋体" w:cs="宋体"/>
          <w:color w:val="auto"/>
          <w:sz w:val="24"/>
          <w:highlight w:val="none"/>
          <w:lang w:val="en-US" w:eastAsia="zh-CN"/>
        </w:rPr>
      </w:pPr>
    </w:p>
    <w:p w14:paraId="5A8F3322">
      <w:pPr>
        <w:spacing w:line="360" w:lineRule="auto"/>
        <w:ind w:firstLine="435"/>
        <w:rPr>
          <w:rFonts w:hint="eastAsia" w:ascii="宋体" w:hAnsi="宋体" w:eastAsia="宋体" w:cs="宋体"/>
          <w:color w:val="auto"/>
          <w:sz w:val="24"/>
          <w:highlight w:val="none"/>
          <w:lang w:val="en-US" w:eastAsia="zh-CN"/>
        </w:rPr>
      </w:pPr>
    </w:p>
    <w:p w14:paraId="5A5AD9EF">
      <w:pPr>
        <w:spacing w:line="360" w:lineRule="auto"/>
        <w:ind w:firstLine="435"/>
        <w:rPr>
          <w:rFonts w:hint="eastAsia" w:ascii="宋体" w:hAnsi="宋体" w:eastAsia="宋体" w:cs="宋体"/>
          <w:color w:val="auto"/>
          <w:sz w:val="24"/>
          <w:highlight w:val="none"/>
          <w:lang w:val="en-US" w:eastAsia="zh-CN"/>
        </w:rPr>
      </w:pPr>
    </w:p>
    <w:p w14:paraId="4EC8749F">
      <w:pPr>
        <w:spacing w:line="360" w:lineRule="auto"/>
        <w:jc w:val="center"/>
        <w:outlineLvl w:val="1"/>
        <w:rPr>
          <w:rFonts w:hint="eastAsia" w:ascii="宋体" w:hAnsi="宋体" w:eastAsia="宋体"/>
          <w:b/>
          <w:color w:val="auto"/>
          <w:sz w:val="24"/>
          <w:highlight w:val="none"/>
        </w:rPr>
      </w:pPr>
      <w:bookmarkStart w:id="191" w:name="_Toc1328"/>
      <w:r>
        <w:rPr>
          <w:rFonts w:hint="eastAsia" w:ascii="宋体" w:hAnsi="宋体" w:eastAsia="宋体"/>
          <w:b/>
          <w:color w:val="auto"/>
          <w:sz w:val="24"/>
          <w:highlight w:val="none"/>
          <w:lang w:val="en-US" w:eastAsia="zh-CN"/>
        </w:rPr>
        <w:t>一．投标人资格声明书</w:t>
      </w:r>
      <w:bookmarkEnd w:id="191"/>
    </w:p>
    <w:p w14:paraId="7BA4E9AA">
      <w:pPr>
        <w:pStyle w:val="13"/>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24B85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713804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1A44CA7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1E11BD1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7D717E4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C4323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068648A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E1D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25DC067">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6B60406">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7A933586">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280E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2CD011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28008863">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332B0BD0">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1BE9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4F88B8B">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39E79073">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3167473">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FEAFE2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11E874F">
      <w:pPr>
        <w:spacing w:line="360" w:lineRule="auto"/>
        <w:ind w:firstLine="4800" w:firstLineChars="2000"/>
        <w:rPr>
          <w:rFonts w:ascii="宋体" w:hAnsi="宋体" w:eastAsia="宋体"/>
          <w:color w:val="auto"/>
          <w:sz w:val="24"/>
          <w:highlight w:val="none"/>
        </w:rPr>
      </w:pPr>
    </w:p>
    <w:p w14:paraId="44D709D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774373C">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100158D">
      <w:pPr>
        <w:pStyle w:val="8"/>
        <w:rPr>
          <w:rFonts w:hint="eastAsia" w:ascii="宋体" w:hAnsi="宋体" w:eastAsia="宋体" w:cs="宋体"/>
          <w:color w:val="000000"/>
          <w:kern w:val="0"/>
          <w:sz w:val="24"/>
          <w:szCs w:val="24"/>
          <w:highlight w:val="none"/>
          <w:lang w:val="en-US" w:eastAsia="zh-CN"/>
        </w:rPr>
      </w:pPr>
    </w:p>
    <w:p w14:paraId="3B292636">
      <w:pPr>
        <w:pStyle w:val="8"/>
        <w:rPr>
          <w:rFonts w:hint="eastAsia" w:ascii="宋体" w:hAnsi="宋体" w:eastAsia="宋体" w:cs="宋体"/>
          <w:color w:val="000000"/>
          <w:kern w:val="0"/>
          <w:sz w:val="24"/>
          <w:szCs w:val="24"/>
          <w:highlight w:val="none"/>
          <w:lang w:val="en-US" w:eastAsia="zh-CN"/>
        </w:rPr>
      </w:pPr>
    </w:p>
    <w:p w14:paraId="78EAF3D3">
      <w:pPr>
        <w:pStyle w:val="8"/>
        <w:rPr>
          <w:rFonts w:hint="eastAsia" w:ascii="宋体" w:hAnsi="宋体" w:eastAsia="宋体" w:cs="宋体"/>
          <w:color w:val="000000"/>
          <w:kern w:val="0"/>
          <w:sz w:val="24"/>
          <w:szCs w:val="24"/>
          <w:highlight w:val="none"/>
          <w:lang w:val="en-US" w:eastAsia="zh-CN"/>
        </w:rPr>
      </w:pPr>
    </w:p>
    <w:p w14:paraId="2218F1B5">
      <w:pPr>
        <w:rPr>
          <w:rFonts w:hint="eastAsia" w:ascii="宋体" w:hAnsi="宋体" w:eastAsia="宋体"/>
          <w:b/>
          <w:color w:val="auto"/>
          <w:sz w:val="24"/>
          <w:highlight w:val="none"/>
        </w:rPr>
      </w:pPr>
      <w:bookmarkStart w:id="192" w:name="_Toc11607"/>
      <w:r>
        <w:rPr>
          <w:rFonts w:hint="eastAsia" w:ascii="宋体" w:hAnsi="宋体" w:eastAsia="宋体"/>
          <w:b/>
          <w:color w:val="auto"/>
          <w:sz w:val="24"/>
          <w:highlight w:val="none"/>
        </w:rPr>
        <w:br w:type="page"/>
      </w:r>
    </w:p>
    <w:p w14:paraId="2D61098A">
      <w:pPr>
        <w:spacing w:line="360" w:lineRule="auto"/>
        <w:jc w:val="center"/>
        <w:outlineLvl w:val="1"/>
        <w:rPr>
          <w:rFonts w:ascii="宋体" w:hAnsi="宋体" w:eastAsia="宋体"/>
          <w:b/>
          <w:color w:val="auto"/>
          <w:sz w:val="24"/>
          <w:highlight w:val="none"/>
        </w:rPr>
      </w:pPr>
      <w:bookmarkStart w:id="193"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192"/>
      <w:bookmarkEnd w:id="193"/>
    </w:p>
    <w:p w14:paraId="3BF671F2">
      <w:pPr>
        <w:pStyle w:val="12"/>
        <w:snapToGrid w:val="0"/>
        <w:spacing w:line="360" w:lineRule="auto"/>
        <w:ind w:firstLine="480" w:firstLineChars="200"/>
        <w:jc w:val="left"/>
        <w:rPr>
          <w:rFonts w:hAnsi="宋体" w:eastAsia="宋体"/>
          <w:color w:val="auto"/>
          <w:sz w:val="24"/>
          <w:szCs w:val="28"/>
          <w:highlight w:val="none"/>
        </w:rPr>
      </w:pPr>
    </w:p>
    <w:p w14:paraId="3BCF177D">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1508CE9C">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6F59E210">
      <w:pPr>
        <w:spacing w:line="360" w:lineRule="auto"/>
        <w:ind w:firstLine="435"/>
        <w:rPr>
          <w:rFonts w:hAnsi="宋体" w:eastAsia="宋体"/>
          <w:b/>
          <w:bCs/>
          <w:color w:val="auto"/>
          <w:sz w:val="24"/>
          <w:highlight w:val="none"/>
        </w:rPr>
      </w:pPr>
      <w:r>
        <w:rPr>
          <w:rFonts w:hint="eastAsia" w:hAnsi="宋体" w:eastAsia="宋体"/>
          <w:b/>
          <w:bCs/>
          <w:color w:val="auto"/>
          <w:sz w:val="24"/>
          <w:szCs w:val="28"/>
          <w:highlight w:val="none"/>
        </w:rPr>
        <w:t>授权</w:t>
      </w:r>
      <w:r>
        <w:rPr>
          <w:rFonts w:hint="eastAsia" w:ascii="宋体" w:hAnsi="宋体" w:eastAsia="宋体"/>
          <w:b/>
          <w:bCs/>
          <w:color w:val="auto"/>
          <w:sz w:val="24"/>
          <w:highlight w:val="none"/>
        </w:rPr>
        <w:t>代表</w:t>
      </w:r>
      <w:r>
        <w:rPr>
          <w:rFonts w:hint="eastAsia" w:hAnsi="宋体" w:eastAsia="宋体"/>
          <w:b/>
          <w:bCs/>
          <w:color w:val="auto"/>
          <w:sz w:val="24"/>
          <w:highlight w:val="none"/>
        </w:rPr>
        <w:t>身份证明扫描件：</w:t>
      </w:r>
    </w:p>
    <w:p w14:paraId="7CC2C332">
      <w:pPr>
        <w:spacing w:line="360" w:lineRule="auto"/>
        <w:ind w:firstLine="435"/>
        <w:rPr>
          <w:rFonts w:ascii="宋体" w:hAnsi="宋体" w:eastAsia="宋体"/>
          <w:color w:val="auto"/>
          <w:sz w:val="24"/>
          <w:highlight w:val="none"/>
        </w:rPr>
      </w:pPr>
    </w:p>
    <w:p w14:paraId="7685B01F">
      <w:pPr>
        <w:spacing w:line="360" w:lineRule="auto"/>
        <w:ind w:firstLine="435"/>
        <w:rPr>
          <w:rFonts w:ascii="宋体" w:hAnsi="宋体" w:eastAsia="宋体"/>
          <w:color w:val="auto"/>
          <w:sz w:val="24"/>
          <w:highlight w:val="none"/>
        </w:rPr>
      </w:pPr>
    </w:p>
    <w:p w14:paraId="57C264B0">
      <w:pPr>
        <w:spacing w:line="360" w:lineRule="auto"/>
        <w:ind w:firstLine="435"/>
        <w:rPr>
          <w:rFonts w:ascii="宋体" w:hAnsi="宋体" w:eastAsia="宋体"/>
          <w:color w:val="auto"/>
          <w:sz w:val="24"/>
          <w:highlight w:val="none"/>
        </w:rPr>
      </w:pPr>
    </w:p>
    <w:p w14:paraId="46C604C7">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E9CBB5F">
      <w:pPr>
        <w:spacing w:line="360" w:lineRule="auto"/>
        <w:ind w:firstLine="435"/>
        <w:rPr>
          <w:rFonts w:hAnsi="宋体" w:eastAsia="宋体"/>
          <w:color w:val="auto"/>
          <w:sz w:val="24"/>
          <w:szCs w:val="28"/>
          <w:highlight w:val="none"/>
          <w:lang w:val="zh-CN"/>
        </w:rPr>
      </w:pPr>
    </w:p>
    <w:p w14:paraId="0354094C">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7D272088">
      <w:pPr>
        <w:spacing w:line="360" w:lineRule="auto"/>
        <w:rPr>
          <w:rFonts w:ascii="宋体" w:hAnsi="宋体" w:eastAsia="宋体"/>
          <w:color w:val="auto"/>
          <w:sz w:val="24"/>
          <w:szCs w:val="28"/>
          <w:highlight w:val="none"/>
        </w:rPr>
      </w:pPr>
    </w:p>
    <w:p w14:paraId="4686BE24">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921FB74">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2CCC0F0E">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9EF2DA6">
      <w:pPr>
        <w:spacing w:line="360" w:lineRule="auto"/>
        <w:ind w:firstLine="435"/>
        <w:rPr>
          <w:rFonts w:ascii="宋体" w:hAnsi="宋体" w:eastAsia="宋体"/>
          <w:color w:val="auto"/>
          <w:sz w:val="24"/>
          <w:highlight w:val="none"/>
        </w:rPr>
      </w:pPr>
    </w:p>
    <w:p w14:paraId="3F41AEAD">
      <w:pPr>
        <w:spacing w:line="360" w:lineRule="auto"/>
        <w:ind w:firstLine="435"/>
        <w:rPr>
          <w:rFonts w:ascii="宋体" w:hAnsi="宋体" w:eastAsia="宋体"/>
          <w:color w:val="auto"/>
          <w:sz w:val="24"/>
          <w:highlight w:val="none"/>
        </w:rPr>
      </w:pPr>
    </w:p>
    <w:p w14:paraId="72B03279">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08A89E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8E9AF3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2DAB5DD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55C92022">
      <w:pPr>
        <w:spacing w:line="360" w:lineRule="auto"/>
        <w:jc w:val="center"/>
        <w:outlineLvl w:val="1"/>
        <w:rPr>
          <w:rFonts w:hint="eastAsia" w:ascii="宋体" w:hAnsi="宋体" w:eastAsia="宋体"/>
          <w:b/>
          <w:color w:val="auto"/>
          <w:sz w:val="24"/>
          <w:highlight w:val="none"/>
          <w:lang w:val="en-US" w:eastAsia="zh-CN"/>
        </w:rPr>
      </w:pPr>
      <w:bookmarkStart w:id="194" w:name="_Toc520299348"/>
      <w:bookmarkStart w:id="195" w:name="_Toc300210382"/>
      <w:bookmarkStart w:id="196" w:name="_Toc457768004"/>
      <w:bookmarkStart w:id="197" w:name="_Toc25813"/>
      <w:r>
        <w:rPr>
          <w:rFonts w:hint="eastAsia" w:ascii="宋体" w:hAnsi="宋体" w:eastAsia="宋体"/>
          <w:b/>
          <w:color w:val="auto"/>
          <w:sz w:val="24"/>
          <w:highlight w:val="none"/>
          <w:lang w:val="en-US" w:eastAsia="zh-CN"/>
        </w:rPr>
        <w:t>三、</w:t>
      </w:r>
      <w:bookmarkEnd w:id="194"/>
      <w:bookmarkEnd w:id="195"/>
      <w:bookmarkEnd w:id="196"/>
      <w:r>
        <w:rPr>
          <w:rFonts w:hint="eastAsia" w:ascii="宋体" w:hAnsi="宋体" w:eastAsia="宋体"/>
          <w:b/>
          <w:color w:val="auto"/>
          <w:sz w:val="24"/>
          <w:highlight w:val="none"/>
          <w:lang w:val="en-US" w:eastAsia="zh-CN"/>
        </w:rPr>
        <w:t>诚信履约承诺函</w:t>
      </w:r>
      <w:bookmarkEnd w:id="197"/>
    </w:p>
    <w:p w14:paraId="210131F9">
      <w:pPr>
        <w:spacing w:line="360" w:lineRule="auto"/>
        <w:rPr>
          <w:rFonts w:ascii="宋体" w:hAnsi="宋体" w:eastAsia="宋体"/>
          <w:b/>
          <w:bCs/>
          <w:color w:val="auto"/>
          <w:sz w:val="24"/>
          <w:highlight w:val="none"/>
        </w:rPr>
      </w:pPr>
    </w:p>
    <w:p w14:paraId="5FDDB8F6">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29C0C512">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F21E3F4">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2357308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693DCDC">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3E6BF9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562DDA33">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16BCC1EA">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F97AD6">
      <w:pPr>
        <w:spacing w:line="360" w:lineRule="auto"/>
        <w:rPr>
          <w:rFonts w:ascii="宋体" w:hAnsi="宋体" w:eastAsia="宋体"/>
          <w:bCs/>
          <w:color w:val="auto"/>
          <w:sz w:val="24"/>
          <w:highlight w:val="none"/>
        </w:rPr>
      </w:pPr>
    </w:p>
    <w:p w14:paraId="54E2C32A">
      <w:pPr>
        <w:spacing w:line="360" w:lineRule="auto"/>
        <w:rPr>
          <w:rFonts w:ascii="宋体" w:hAnsi="宋体" w:eastAsia="宋体"/>
          <w:bCs/>
          <w:color w:val="auto"/>
          <w:sz w:val="24"/>
          <w:highlight w:val="none"/>
        </w:rPr>
      </w:pPr>
    </w:p>
    <w:p w14:paraId="716DDF7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3D418E94">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A29443E">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p w14:paraId="66EDF5A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198" w:name="OLE_LINK13"/>
      <w:bookmarkStart w:id="199" w:name="_Toc9573"/>
      <w:bookmarkStart w:id="200" w:name="OLE_LINK14"/>
      <w:bookmarkStart w:id="201" w:name="_Toc31244"/>
      <w:r>
        <w:rPr>
          <w:rFonts w:hint="eastAsia" w:asciiTheme="minorEastAsia" w:hAnsiTheme="minorEastAsia" w:eastAsiaTheme="minorEastAsia"/>
          <w:b/>
          <w:color w:val="auto"/>
          <w:sz w:val="24"/>
          <w:highlight w:val="none"/>
          <w:lang w:val="en-US" w:eastAsia="zh-CN"/>
        </w:rPr>
        <w:t>四、诚信投标承诺书 </w:t>
      </w:r>
    </w:p>
    <w:p w14:paraId="37678081">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本人以企业法定代表人的身份郑重承诺：</w:t>
      </w:r>
    </w:p>
    <w:p w14:paraId="50F2F1DA">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一、将遵循公开、公正和诚实信用的原则自愿参加</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项目的投标，所提供的一切材料都是真实、有效、合法的；</w:t>
      </w:r>
    </w:p>
    <w:p w14:paraId="0039787D">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二、本单位郑重声明，根据</w:t>
      </w:r>
      <w:r>
        <w:rPr>
          <w:rFonts w:hint="eastAsia" w:ascii="宋体" w:hAnsi="宋体" w:eastAsia="宋体"/>
          <w:bCs/>
          <w:color w:val="auto"/>
          <w:sz w:val="24"/>
          <w:highlight w:val="none"/>
          <w:lang w:eastAsia="zh-CN"/>
        </w:rPr>
        <w:t>《中华人民共和国招标投标法》</w:t>
      </w:r>
      <w:r>
        <w:rPr>
          <w:rFonts w:hint="eastAsia" w:ascii="宋体" w:hAnsi="宋体" w:eastAsia="宋体"/>
          <w:bCs/>
          <w:color w:val="auto"/>
          <w:sz w:val="24"/>
          <w:highlight w:val="none"/>
        </w:rPr>
        <w:t>及</w:t>
      </w:r>
      <w:r>
        <w:rPr>
          <w:rFonts w:hint="eastAsia" w:ascii="宋体" w:hAnsi="宋体" w:eastAsia="宋体"/>
          <w:bCs/>
          <w:color w:val="auto"/>
          <w:sz w:val="24"/>
          <w:highlight w:val="none"/>
          <w:lang w:eastAsia="zh-CN"/>
        </w:rPr>
        <w:t>《中华人民共和国招标投标法实施条例》</w:t>
      </w:r>
      <w:r>
        <w:rPr>
          <w:rFonts w:hint="eastAsia" w:ascii="宋体" w:hAnsi="宋体" w:eastAsia="宋体"/>
          <w:bCs/>
          <w:color w:val="auto"/>
          <w:sz w:val="24"/>
          <w:highlight w:val="none"/>
        </w:rPr>
        <w:t>的规定，我公司具有良好的商业信誉和健全的财务会计制度，具有履行合同所必需的设备和专业技术能力，有依法缴纳税收和社会保障资金的良好记录；参加</w:t>
      </w:r>
      <w:r>
        <w:rPr>
          <w:rFonts w:hint="eastAsia" w:ascii="宋体" w:hAnsi="宋体" w:eastAsia="宋体"/>
          <w:bCs/>
          <w:color w:val="auto"/>
          <w:sz w:val="24"/>
          <w:highlight w:val="none"/>
          <w:lang w:val="en-US" w:eastAsia="zh-CN"/>
        </w:rPr>
        <w:t>招投标</w:t>
      </w:r>
      <w:r>
        <w:rPr>
          <w:rFonts w:hint="eastAsia" w:ascii="宋体" w:hAnsi="宋体" w:eastAsia="宋体"/>
          <w:bCs/>
          <w:color w:val="auto"/>
          <w:sz w:val="24"/>
          <w:highlight w:val="none"/>
        </w:rPr>
        <w:t>活动前三年内，本单位在经营活动中没有重大违法记录，没有因违法经营受到刑事处罚或者责令停产停业、吊销许可证或者执照、较大数额罚款等行政处罚。</w:t>
      </w:r>
    </w:p>
    <w:p w14:paraId="59C202CE">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三、不出借、转让资质证书，不让他人挂靠投标，不以他人名义投标或者以其他方式弄虚作假，骗取中标；</w:t>
      </w:r>
    </w:p>
    <w:p w14:paraId="4E50A204">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四、不与其他投标人相互串通投标报价，不排挤其他投标人的公平竞争、损害采购人的合法权益；</w:t>
      </w:r>
    </w:p>
    <w:p w14:paraId="10FE4F40">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五、不与采购人、招标代理机构或其他投标人串通投标，损害国家利益、社会公共利益或者他人的合法权益；</w:t>
      </w:r>
    </w:p>
    <w:p w14:paraId="4A7D4B50">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六、我公司没有下列情形：1、被人民法院列入失信被执行人的；2、我公司及其法定代表人、拟任</w:t>
      </w:r>
      <w:r>
        <w:rPr>
          <w:rFonts w:hint="eastAsia" w:ascii="宋体" w:hAnsi="宋体" w:eastAsia="宋体"/>
          <w:bCs/>
          <w:color w:val="auto"/>
          <w:sz w:val="24"/>
          <w:highlight w:val="none"/>
          <w:lang w:eastAsia="zh-CN"/>
        </w:rPr>
        <w:t>项目负责人</w:t>
      </w:r>
      <w:r>
        <w:rPr>
          <w:rFonts w:hint="eastAsia" w:ascii="宋体" w:hAnsi="宋体" w:eastAsia="宋体"/>
          <w:bCs/>
          <w:color w:val="auto"/>
          <w:sz w:val="24"/>
          <w:highlight w:val="none"/>
        </w:rPr>
        <w:t>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w:t>
      </w:r>
      <w:r>
        <w:rPr>
          <w:rFonts w:hint="eastAsia" w:ascii="宋体" w:hAnsi="宋体" w:eastAsia="宋体"/>
          <w:bCs/>
          <w:color w:val="auto"/>
          <w:sz w:val="24"/>
          <w:highlight w:val="none"/>
          <w:lang w:val="en-US" w:eastAsia="zh-CN"/>
        </w:rPr>
        <w:t>招投标</w:t>
      </w:r>
      <w:r>
        <w:rPr>
          <w:rFonts w:hint="eastAsia" w:ascii="宋体" w:hAnsi="宋体" w:eastAsia="宋体"/>
          <w:bCs/>
          <w:color w:val="auto"/>
          <w:sz w:val="24"/>
          <w:highlight w:val="none"/>
        </w:rPr>
        <w:t>活动前3年在经营活动中有重大违法记录的。</w:t>
      </w:r>
    </w:p>
    <w:p w14:paraId="26A6F3D5">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七、严格遵守开标现场纪律，服从监管人员管理；</w:t>
      </w:r>
    </w:p>
    <w:p w14:paraId="519591B1">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八、保证中标后不转包，若有分包征得采购人同意；</w:t>
      </w:r>
    </w:p>
    <w:p w14:paraId="601B2BB3">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九、保证中标之后，按照投标文件要求提供相关后续服务；</w:t>
      </w:r>
    </w:p>
    <w:p w14:paraId="1994D3EB">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十、保证企业及所属相关人员在本次投标中无行贿等犯罪行为；</w:t>
      </w:r>
    </w:p>
    <w:p w14:paraId="013CC9D2">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DEA9C6C">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以上内容我已仔细阅读，本公司若有违反承诺内容的行为，自愿接受取消投标或者中标资格、记入不良行为记录等有关处理，愿意承担法律责任，给采购人造成损失的，依法承担赔偿责任。</w:t>
      </w:r>
    </w:p>
    <w:p w14:paraId="21173BBB">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 </w:t>
      </w:r>
    </w:p>
    <w:p w14:paraId="100B2A5D">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开户银行：                          基本账户：</w:t>
      </w:r>
    </w:p>
    <w:p w14:paraId="0F458770">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投标单位（盖单位章）：          法定代表人（签</w:t>
      </w:r>
      <w:r>
        <w:rPr>
          <w:rFonts w:hint="eastAsia" w:ascii="宋体" w:hAnsi="宋体" w:eastAsia="宋体"/>
          <w:bCs/>
          <w:color w:val="auto"/>
          <w:sz w:val="24"/>
          <w:highlight w:val="none"/>
          <w:lang w:val="en-US" w:eastAsia="zh-CN"/>
        </w:rPr>
        <w:t>字或盖</w:t>
      </w:r>
      <w:r>
        <w:rPr>
          <w:rFonts w:hint="eastAsia" w:ascii="宋体" w:hAnsi="宋体" w:eastAsia="宋体"/>
          <w:bCs/>
          <w:color w:val="auto"/>
          <w:sz w:val="24"/>
          <w:highlight w:val="none"/>
        </w:rPr>
        <w:t>章）：</w:t>
      </w:r>
    </w:p>
    <w:p w14:paraId="14928D52">
      <w:pPr>
        <w:spacing w:line="360" w:lineRule="auto"/>
        <w:ind w:firstLine="480" w:firstLineChars="200"/>
        <w:rPr>
          <w:rFonts w:hint="eastAsia" w:ascii="宋体" w:hAnsi="宋体" w:eastAsia="宋体"/>
          <w:bCs/>
          <w:color w:val="auto"/>
          <w:sz w:val="24"/>
          <w:highlight w:val="none"/>
        </w:rPr>
      </w:pPr>
    </w:p>
    <w:p w14:paraId="1C781178">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日期：</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 xml:space="preserve"> 年</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 xml:space="preserve"> 月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 xml:space="preserve"> 日</w:t>
      </w:r>
    </w:p>
    <w:p w14:paraId="4E4AECD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5C899F4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0744543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39881CC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746D39C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605C02C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665A339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7908C93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35CFDB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74916C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370C6C9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70D83D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6EDE3D0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40BD6A2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54F7001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2DDE348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3582E3F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51BD796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33412F4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477E11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5C9BC8D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04CF16E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p w14:paraId="3A464A0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olor w:val="auto"/>
          <w:szCs w:val="21"/>
          <w:highlight w:val="none"/>
        </w:rPr>
      </w:pPr>
    </w:p>
    <w:bookmarkEnd w:id="198"/>
    <w:bookmarkEnd w:id="199"/>
    <w:bookmarkEnd w:id="200"/>
    <w:bookmarkEnd w:id="201"/>
    <w:p w14:paraId="1296DF0C">
      <w:pPr>
        <w:spacing w:line="900" w:lineRule="exact"/>
        <w:jc w:val="center"/>
        <w:outlineLvl w:val="1"/>
        <w:rPr>
          <w:rFonts w:hint="eastAsia" w:ascii="宋体" w:hAnsi="宋体" w:eastAsia="宋体" w:cs="宋体"/>
          <w:b/>
          <w:color w:val="auto"/>
          <w:sz w:val="72"/>
          <w:highlight w:val="none"/>
        </w:rPr>
      </w:pPr>
      <w:bookmarkStart w:id="202" w:name="_Toc5555"/>
      <w:bookmarkStart w:id="203" w:name="_Toc28960"/>
    </w:p>
    <w:p w14:paraId="06484D49">
      <w:pPr>
        <w:spacing w:line="900" w:lineRule="exact"/>
        <w:jc w:val="center"/>
        <w:outlineLvl w:val="1"/>
        <w:rPr>
          <w:rFonts w:hint="eastAsia" w:ascii="宋体" w:hAnsi="宋体" w:eastAsia="宋体" w:cs="宋体"/>
          <w:b/>
          <w:color w:val="auto"/>
          <w:sz w:val="72"/>
          <w:highlight w:val="none"/>
        </w:rPr>
      </w:pPr>
    </w:p>
    <w:p w14:paraId="1CAA57EB">
      <w:pPr>
        <w:spacing w:line="900" w:lineRule="exact"/>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投</w:t>
      </w:r>
    </w:p>
    <w:p w14:paraId="002879C7">
      <w:pPr>
        <w:spacing w:line="900" w:lineRule="exact"/>
        <w:jc w:val="center"/>
        <w:rPr>
          <w:rFonts w:hint="eastAsia" w:ascii="宋体" w:hAnsi="宋体" w:eastAsia="宋体" w:cs="宋体"/>
          <w:b/>
          <w:color w:val="auto"/>
          <w:sz w:val="72"/>
          <w:highlight w:val="none"/>
        </w:rPr>
      </w:pPr>
    </w:p>
    <w:p w14:paraId="6B7E9D38">
      <w:pPr>
        <w:spacing w:line="900" w:lineRule="exact"/>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标</w:t>
      </w:r>
    </w:p>
    <w:p w14:paraId="55ABDD7C">
      <w:pPr>
        <w:spacing w:line="900" w:lineRule="exact"/>
        <w:jc w:val="center"/>
        <w:rPr>
          <w:rFonts w:hint="eastAsia" w:ascii="宋体" w:hAnsi="宋体" w:eastAsia="宋体" w:cs="宋体"/>
          <w:b/>
          <w:color w:val="auto"/>
          <w:sz w:val="72"/>
          <w:highlight w:val="none"/>
        </w:rPr>
      </w:pPr>
    </w:p>
    <w:p w14:paraId="6E41B831">
      <w:pPr>
        <w:spacing w:line="900" w:lineRule="exact"/>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文</w:t>
      </w:r>
    </w:p>
    <w:p w14:paraId="34CE3072">
      <w:pPr>
        <w:spacing w:line="900" w:lineRule="exact"/>
        <w:jc w:val="center"/>
        <w:rPr>
          <w:rFonts w:hint="eastAsia" w:ascii="宋体" w:hAnsi="宋体" w:eastAsia="宋体" w:cs="宋体"/>
          <w:b/>
          <w:color w:val="auto"/>
          <w:sz w:val="72"/>
          <w:highlight w:val="none"/>
        </w:rPr>
      </w:pPr>
    </w:p>
    <w:p w14:paraId="5536607C">
      <w:pPr>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件</w:t>
      </w:r>
    </w:p>
    <w:p w14:paraId="57EAF829">
      <w:pPr>
        <w:spacing w:after="156" w:afterLines="50"/>
        <w:jc w:val="center"/>
        <w:rPr>
          <w:rFonts w:hint="eastAsia" w:ascii="宋体" w:hAnsi="宋体" w:eastAsia="宋体" w:cs="宋体"/>
          <w:b/>
          <w:color w:val="auto"/>
          <w:sz w:val="72"/>
          <w:highlight w:val="none"/>
        </w:rPr>
      </w:pPr>
    </w:p>
    <w:p w14:paraId="01D78C6C">
      <w:pPr>
        <w:spacing w:before="156" w:beforeLines="50" w:after="156" w:afterLines="5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lang w:val="en-US" w:eastAsia="zh-CN"/>
        </w:rPr>
        <w:t>技术部分</w:t>
      </w:r>
      <w:r>
        <w:rPr>
          <w:rFonts w:hint="eastAsia" w:ascii="宋体" w:hAnsi="宋体" w:eastAsia="宋体" w:cs="宋体"/>
          <w:b/>
          <w:color w:val="auto"/>
          <w:sz w:val="44"/>
          <w:szCs w:val="44"/>
          <w:highlight w:val="none"/>
          <w:lang w:eastAsia="zh-CN"/>
        </w:rPr>
        <w:t>）</w:t>
      </w:r>
    </w:p>
    <w:p w14:paraId="4E5841D3">
      <w:pPr>
        <w:spacing w:after="156" w:afterLines="50" w:line="500" w:lineRule="exact"/>
        <w:jc w:val="center"/>
        <w:rPr>
          <w:rFonts w:hint="eastAsia" w:ascii="宋体" w:hAnsi="宋体" w:eastAsia="宋体" w:cs="宋体"/>
          <w:b/>
          <w:color w:val="auto"/>
          <w:sz w:val="28"/>
          <w:szCs w:val="28"/>
          <w:highlight w:val="none"/>
        </w:rPr>
      </w:pPr>
    </w:p>
    <w:p w14:paraId="78F5CF5B">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7ACB58D4">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2FF9F99D">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00014151">
      <w:pPr>
        <w:spacing w:after="156" w:afterLines="50" w:line="5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p>
    <w:p w14:paraId="2268A40B">
      <w:pPr>
        <w:spacing w:line="360" w:lineRule="auto"/>
        <w:jc w:val="center"/>
        <w:outlineLvl w:val="1"/>
        <w:rPr>
          <w:rFonts w:hint="eastAsia" w:ascii="宋体" w:hAnsi="宋体" w:eastAsia="宋体"/>
          <w:b/>
          <w:color w:val="auto"/>
          <w:sz w:val="24"/>
          <w:highlight w:val="none"/>
        </w:rPr>
      </w:pPr>
    </w:p>
    <w:p w14:paraId="705B7F0F">
      <w:pPr>
        <w:widowControl/>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目  录</w:t>
      </w:r>
    </w:p>
    <w:p w14:paraId="4D0F0C7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养护方案；</w:t>
      </w:r>
    </w:p>
    <w:p w14:paraId="0A70F4A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（2）投标人认为需要提供的其他评审及证明材料</w:t>
      </w:r>
    </w:p>
    <w:p w14:paraId="4C4EA40C">
      <w:pPr>
        <w:spacing w:line="360" w:lineRule="auto"/>
        <w:jc w:val="center"/>
        <w:outlineLvl w:val="1"/>
        <w:rPr>
          <w:rFonts w:hint="eastAsia" w:ascii="宋体" w:hAnsi="宋体" w:eastAsia="宋体"/>
          <w:b/>
          <w:color w:val="auto"/>
          <w:sz w:val="24"/>
          <w:highlight w:val="none"/>
        </w:rPr>
      </w:pPr>
    </w:p>
    <w:p w14:paraId="0D46E016">
      <w:pPr>
        <w:spacing w:line="360" w:lineRule="auto"/>
        <w:jc w:val="center"/>
        <w:outlineLvl w:val="1"/>
        <w:rPr>
          <w:rFonts w:hint="eastAsia" w:ascii="宋体" w:hAnsi="宋体" w:eastAsia="宋体"/>
          <w:b/>
          <w:color w:val="auto"/>
          <w:sz w:val="24"/>
          <w:highlight w:val="none"/>
        </w:rPr>
      </w:pPr>
    </w:p>
    <w:p w14:paraId="3B563AAB">
      <w:pPr>
        <w:spacing w:line="360" w:lineRule="auto"/>
        <w:jc w:val="center"/>
        <w:outlineLvl w:val="1"/>
        <w:rPr>
          <w:rFonts w:hint="eastAsia" w:ascii="宋体" w:hAnsi="宋体" w:eastAsia="宋体"/>
          <w:b/>
          <w:color w:val="auto"/>
          <w:sz w:val="24"/>
          <w:highlight w:val="none"/>
        </w:rPr>
      </w:pPr>
    </w:p>
    <w:p w14:paraId="0D6120C9">
      <w:pPr>
        <w:spacing w:line="360" w:lineRule="auto"/>
        <w:jc w:val="center"/>
        <w:outlineLvl w:val="1"/>
        <w:rPr>
          <w:rFonts w:hint="eastAsia" w:ascii="宋体" w:hAnsi="宋体" w:eastAsia="宋体"/>
          <w:b/>
          <w:color w:val="auto"/>
          <w:sz w:val="24"/>
          <w:highlight w:val="none"/>
        </w:rPr>
      </w:pPr>
    </w:p>
    <w:p w14:paraId="361AE45D">
      <w:pPr>
        <w:spacing w:line="360" w:lineRule="auto"/>
        <w:jc w:val="center"/>
        <w:outlineLvl w:val="1"/>
        <w:rPr>
          <w:rFonts w:hint="eastAsia" w:ascii="宋体" w:hAnsi="宋体" w:eastAsia="宋体"/>
          <w:b/>
          <w:color w:val="auto"/>
          <w:sz w:val="24"/>
          <w:highlight w:val="none"/>
        </w:rPr>
      </w:pPr>
    </w:p>
    <w:p w14:paraId="53408AF7">
      <w:pPr>
        <w:spacing w:line="360" w:lineRule="auto"/>
        <w:jc w:val="center"/>
        <w:outlineLvl w:val="1"/>
        <w:rPr>
          <w:rFonts w:hint="eastAsia" w:ascii="宋体" w:hAnsi="宋体" w:eastAsia="宋体"/>
          <w:b/>
          <w:color w:val="auto"/>
          <w:sz w:val="24"/>
          <w:highlight w:val="none"/>
        </w:rPr>
      </w:pPr>
    </w:p>
    <w:p w14:paraId="1E4CB34F">
      <w:pPr>
        <w:spacing w:line="360" w:lineRule="auto"/>
        <w:jc w:val="center"/>
        <w:outlineLvl w:val="1"/>
        <w:rPr>
          <w:rFonts w:hint="eastAsia" w:ascii="宋体" w:hAnsi="宋体" w:eastAsia="宋体"/>
          <w:b/>
          <w:color w:val="auto"/>
          <w:sz w:val="24"/>
          <w:highlight w:val="none"/>
        </w:rPr>
      </w:pPr>
    </w:p>
    <w:p w14:paraId="40BF1BAD">
      <w:pPr>
        <w:spacing w:line="360" w:lineRule="auto"/>
        <w:jc w:val="center"/>
        <w:outlineLvl w:val="1"/>
        <w:rPr>
          <w:rFonts w:hint="eastAsia" w:ascii="宋体" w:hAnsi="宋体" w:eastAsia="宋体"/>
          <w:b/>
          <w:color w:val="auto"/>
          <w:sz w:val="24"/>
          <w:highlight w:val="none"/>
        </w:rPr>
      </w:pPr>
    </w:p>
    <w:p w14:paraId="3832A1D1">
      <w:pPr>
        <w:spacing w:line="360" w:lineRule="auto"/>
        <w:jc w:val="center"/>
        <w:outlineLvl w:val="1"/>
        <w:rPr>
          <w:rFonts w:hint="eastAsia" w:ascii="宋体" w:hAnsi="宋体" w:eastAsia="宋体"/>
          <w:b/>
          <w:color w:val="auto"/>
          <w:sz w:val="24"/>
          <w:highlight w:val="none"/>
        </w:rPr>
      </w:pPr>
    </w:p>
    <w:p w14:paraId="02071B1D">
      <w:pPr>
        <w:spacing w:line="360" w:lineRule="auto"/>
        <w:jc w:val="center"/>
        <w:outlineLvl w:val="1"/>
        <w:rPr>
          <w:rFonts w:hint="eastAsia" w:ascii="宋体" w:hAnsi="宋体" w:eastAsia="宋体"/>
          <w:b/>
          <w:color w:val="auto"/>
          <w:sz w:val="24"/>
          <w:highlight w:val="none"/>
        </w:rPr>
      </w:pPr>
    </w:p>
    <w:p w14:paraId="4EFF38DD">
      <w:pPr>
        <w:spacing w:line="360" w:lineRule="auto"/>
        <w:jc w:val="center"/>
        <w:outlineLvl w:val="1"/>
        <w:rPr>
          <w:rFonts w:hint="eastAsia" w:ascii="宋体" w:hAnsi="宋体" w:eastAsia="宋体"/>
          <w:b/>
          <w:color w:val="auto"/>
          <w:sz w:val="24"/>
          <w:highlight w:val="none"/>
        </w:rPr>
      </w:pPr>
    </w:p>
    <w:p w14:paraId="347B776A">
      <w:pPr>
        <w:spacing w:line="360" w:lineRule="auto"/>
        <w:jc w:val="center"/>
        <w:outlineLvl w:val="1"/>
        <w:rPr>
          <w:rFonts w:hint="eastAsia" w:ascii="宋体" w:hAnsi="宋体" w:eastAsia="宋体"/>
          <w:b/>
          <w:color w:val="auto"/>
          <w:sz w:val="24"/>
          <w:highlight w:val="none"/>
        </w:rPr>
      </w:pPr>
    </w:p>
    <w:p w14:paraId="411D0F65">
      <w:pPr>
        <w:spacing w:line="360" w:lineRule="auto"/>
        <w:jc w:val="center"/>
        <w:outlineLvl w:val="1"/>
        <w:rPr>
          <w:rFonts w:hint="eastAsia" w:ascii="宋体" w:hAnsi="宋体" w:eastAsia="宋体"/>
          <w:b/>
          <w:color w:val="auto"/>
          <w:sz w:val="24"/>
          <w:highlight w:val="none"/>
        </w:rPr>
      </w:pPr>
    </w:p>
    <w:p w14:paraId="44CC4A16">
      <w:pPr>
        <w:spacing w:line="360" w:lineRule="auto"/>
        <w:jc w:val="center"/>
        <w:outlineLvl w:val="1"/>
        <w:rPr>
          <w:rFonts w:hint="eastAsia" w:ascii="宋体" w:hAnsi="宋体" w:eastAsia="宋体"/>
          <w:b/>
          <w:color w:val="auto"/>
          <w:sz w:val="24"/>
          <w:highlight w:val="none"/>
        </w:rPr>
      </w:pPr>
    </w:p>
    <w:p w14:paraId="271D8E96">
      <w:pPr>
        <w:spacing w:line="360" w:lineRule="auto"/>
        <w:jc w:val="center"/>
        <w:outlineLvl w:val="1"/>
        <w:rPr>
          <w:rFonts w:hint="eastAsia" w:ascii="宋体" w:hAnsi="宋体" w:eastAsia="宋体"/>
          <w:b/>
          <w:color w:val="auto"/>
          <w:sz w:val="24"/>
          <w:highlight w:val="none"/>
        </w:rPr>
      </w:pPr>
    </w:p>
    <w:p w14:paraId="7D19403C">
      <w:pPr>
        <w:spacing w:line="360" w:lineRule="auto"/>
        <w:jc w:val="center"/>
        <w:outlineLvl w:val="1"/>
        <w:rPr>
          <w:rFonts w:hint="eastAsia" w:ascii="宋体" w:hAnsi="宋体" w:eastAsia="宋体"/>
          <w:b/>
          <w:color w:val="auto"/>
          <w:sz w:val="24"/>
          <w:highlight w:val="none"/>
        </w:rPr>
      </w:pPr>
    </w:p>
    <w:p w14:paraId="17491C85">
      <w:pPr>
        <w:spacing w:line="360" w:lineRule="auto"/>
        <w:jc w:val="center"/>
        <w:outlineLvl w:val="1"/>
        <w:rPr>
          <w:rFonts w:hint="eastAsia" w:ascii="宋体" w:hAnsi="宋体" w:eastAsia="宋体"/>
          <w:b/>
          <w:color w:val="auto"/>
          <w:sz w:val="24"/>
          <w:highlight w:val="none"/>
        </w:rPr>
      </w:pPr>
    </w:p>
    <w:p w14:paraId="7FF7C8B4">
      <w:pPr>
        <w:spacing w:line="360" w:lineRule="auto"/>
        <w:jc w:val="center"/>
        <w:outlineLvl w:val="1"/>
        <w:rPr>
          <w:rFonts w:hint="eastAsia" w:ascii="宋体" w:hAnsi="宋体" w:eastAsia="宋体"/>
          <w:b/>
          <w:color w:val="auto"/>
          <w:sz w:val="24"/>
          <w:highlight w:val="none"/>
        </w:rPr>
      </w:pPr>
    </w:p>
    <w:p w14:paraId="67E677D3">
      <w:pPr>
        <w:spacing w:line="360" w:lineRule="auto"/>
        <w:jc w:val="center"/>
        <w:outlineLvl w:val="1"/>
        <w:rPr>
          <w:rFonts w:hint="eastAsia" w:ascii="宋体" w:hAnsi="宋体" w:eastAsia="宋体"/>
          <w:b/>
          <w:color w:val="auto"/>
          <w:sz w:val="24"/>
          <w:highlight w:val="none"/>
        </w:rPr>
      </w:pPr>
    </w:p>
    <w:p w14:paraId="0AF6B511">
      <w:pPr>
        <w:spacing w:line="360" w:lineRule="auto"/>
        <w:jc w:val="center"/>
        <w:outlineLvl w:val="1"/>
        <w:rPr>
          <w:rFonts w:hint="eastAsia" w:ascii="宋体" w:hAnsi="宋体" w:eastAsia="宋体"/>
          <w:b/>
          <w:color w:val="auto"/>
          <w:sz w:val="24"/>
          <w:highlight w:val="none"/>
        </w:rPr>
      </w:pPr>
    </w:p>
    <w:p w14:paraId="4F8363C2">
      <w:pPr>
        <w:spacing w:line="360" w:lineRule="auto"/>
        <w:jc w:val="center"/>
        <w:outlineLvl w:val="1"/>
        <w:rPr>
          <w:rFonts w:hint="eastAsia" w:ascii="宋体" w:hAnsi="宋体" w:eastAsia="宋体"/>
          <w:b/>
          <w:color w:val="auto"/>
          <w:sz w:val="24"/>
          <w:highlight w:val="none"/>
        </w:rPr>
      </w:pPr>
    </w:p>
    <w:p w14:paraId="4FCD074D">
      <w:pPr>
        <w:spacing w:line="360" w:lineRule="auto"/>
        <w:jc w:val="center"/>
        <w:outlineLvl w:val="1"/>
        <w:rPr>
          <w:rFonts w:hint="eastAsia" w:ascii="宋体" w:hAnsi="宋体" w:eastAsia="宋体"/>
          <w:b/>
          <w:color w:val="auto"/>
          <w:sz w:val="24"/>
          <w:highlight w:val="none"/>
        </w:rPr>
      </w:pPr>
    </w:p>
    <w:p w14:paraId="595CE71A">
      <w:pPr>
        <w:spacing w:line="360" w:lineRule="auto"/>
        <w:jc w:val="center"/>
        <w:outlineLvl w:val="1"/>
        <w:rPr>
          <w:rFonts w:hint="eastAsia" w:ascii="宋体" w:hAnsi="宋体" w:eastAsia="宋体"/>
          <w:b/>
          <w:color w:val="auto"/>
          <w:sz w:val="24"/>
          <w:highlight w:val="none"/>
        </w:rPr>
      </w:pPr>
    </w:p>
    <w:p w14:paraId="6936F906">
      <w:pPr>
        <w:spacing w:line="360" w:lineRule="auto"/>
        <w:jc w:val="center"/>
        <w:outlineLvl w:val="1"/>
        <w:rPr>
          <w:rFonts w:hint="eastAsia" w:ascii="宋体" w:hAnsi="宋体" w:eastAsia="宋体"/>
          <w:b/>
          <w:color w:val="auto"/>
          <w:sz w:val="24"/>
          <w:highlight w:val="none"/>
        </w:rPr>
      </w:pPr>
    </w:p>
    <w:p w14:paraId="77D58D3B">
      <w:pPr>
        <w:spacing w:line="360" w:lineRule="auto"/>
        <w:jc w:val="center"/>
        <w:outlineLvl w:val="1"/>
        <w:rPr>
          <w:rFonts w:hint="eastAsia" w:ascii="宋体" w:hAnsi="宋体" w:eastAsia="宋体"/>
          <w:b/>
          <w:color w:val="auto"/>
          <w:sz w:val="24"/>
          <w:highlight w:val="none"/>
        </w:rPr>
      </w:pPr>
    </w:p>
    <w:p w14:paraId="24753A0E">
      <w:pPr>
        <w:spacing w:line="360" w:lineRule="auto"/>
        <w:jc w:val="center"/>
        <w:outlineLvl w:val="1"/>
        <w:rPr>
          <w:rFonts w:hint="eastAsia" w:ascii="宋体" w:hAnsi="宋体" w:eastAsia="宋体"/>
          <w:b/>
          <w:color w:val="auto"/>
          <w:sz w:val="24"/>
          <w:highlight w:val="none"/>
        </w:rPr>
      </w:pPr>
    </w:p>
    <w:p w14:paraId="2E695D9A">
      <w:pPr>
        <w:spacing w:line="360" w:lineRule="auto"/>
        <w:jc w:val="center"/>
        <w:outlineLvl w:val="1"/>
        <w:rPr>
          <w:rFonts w:hint="eastAsia" w:ascii="宋体" w:hAnsi="宋体" w:eastAsia="宋体"/>
          <w:b/>
          <w:color w:val="auto"/>
          <w:sz w:val="24"/>
          <w:highlight w:val="none"/>
        </w:rPr>
      </w:pPr>
    </w:p>
    <w:p w14:paraId="7B766363">
      <w:pPr>
        <w:spacing w:line="360" w:lineRule="auto"/>
        <w:jc w:val="center"/>
        <w:outlineLvl w:val="1"/>
        <w:rPr>
          <w:rFonts w:hint="eastAsia" w:ascii="宋体" w:hAnsi="宋体" w:eastAsia="宋体"/>
          <w:b/>
          <w:color w:val="auto"/>
          <w:sz w:val="24"/>
          <w:highlight w:val="none"/>
        </w:rPr>
      </w:pPr>
    </w:p>
    <w:p w14:paraId="66EB4AF3">
      <w:pPr>
        <w:spacing w:line="900" w:lineRule="exact"/>
        <w:jc w:val="center"/>
        <w:outlineLvl w:val="1"/>
        <w:rPr>
          <w:rFonts w:hint="eastAsia" w:ascii="宋体" w:hAnsi="宋体" w:eastAsia="宋体" w:cs="宋体"/>
          <w:b/>
          <w:color w:val="auto"/>
          <w:sz w:val="72"/>
          <w:highlight w:val="none"/>
        </w:rPr>
      </w:pPr>
    </w:p>
    <w:p w14:paraId="35A54E4F">
      <w:pPr>
        <w:spacing w:line="900" w:lineRule="exact"/>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投</w:t>
      </w:r>
    </w:p>
    <w:p w14:paraId="5FB95520">
      <w:pPr>
        <w:spacing w:line="900" w:lineRule="exact"/>
        <w:jc w:val="center"/>
        <w:rPr>
          <w:rFonts w:hint="eastAsia" w:ascii="宋体" w:hAnsi="宋体" w:eastAsia="宋体" w:cs="宋体"/>
          <w:b/>
          <w:color w:val="auto"/>
          <w:sz w:val="72"/>
          <w:highlight w:val="none"/>
        </w:rPr>
      </w:pPr>
    </w:p>
    <w:p w14:paraId="6F96717B">
      <w:pPr>
        <w:spacing w:line="900" w:lineRule="exact"/>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标</w:t>
      </w:r>
    </w:p>
    <w:p w14:paraId="59208ADF">
      <w:pPr>
        <w:spacing w:line="900" w:lineRule="exact"/>
        <w:jc w:val="center"/>
        <w:rPr>
          <w:rFonts w:hint="eastAsia" w:ascii="宋体" w:hAnsi="宋体" w:eastAsia="宋体" w:cs="宋体"/>
          <w:b/>
          <w:color w:val="auto"/>
          <w:sz w:val="72"/>
          <w:highlight w:val="none"/>
        </w:rPr>
      </w:pPr>
    </w:p>
    <w:p w14:paraId="29123587">
      <w:pPr>
        <w:spacing w:line="900" w:lineRule="exact"/>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文</w:t>
      </w:r>
    </w:p>
    <w:p w14:paraId="09082575">
      <w:pPr>
        <w:spacing w:line="900" w:lineRule="exact"/>
        <w:jc w:val="center"/>
        <w:rPr>
          <w:rFonts w:hint="eastAsia" w:ascii="宋体" w:hAnsi="宋体" w:eastAsia="宋体" w:cs="宋体"/>
          <w:b/>
          <w:color w:val="auto"/>
          <w:sz w:val="72"/>
          <w:highlight w:val="none"/>
        </w:rPr>
      </w:pPr>
    </w:p>
    <w:p w14:paraId="24FED349">
      <w:pPr>
        <w:jc w:val="center"/>
        <w:outlineLvl w:val="1"/>
        <w:rPr>
          <w:rFonts w:hint="eastAsia" w:ascii="宋体" w:hAnsi="宋体" w:eastAsia="宋体" w:cs="宋体"/>
          <w:b/>
          <w:color w:val="auto"/>
          <w:sz w:val="72"/>
          <w:highlight w:val="none"/>
        </w:rPr>
      </w:pPr>
      <w:r>
        <w:rPr>
          <w:rFonts w:hint="eastAsia" w:ascii="宋体" w:hAnsi="宋体" w:eastAsia="宋体" w:cs="宋体"/>
          <w:b/>
          <w:color w:val="auto"/>
          <w:sz w:val="72"/>
          <w:highlight w:val="none"/>
        </w:rPr>
        <w:t>件</w:t>
      </w:r>
    </w:p>
    <w:p w14:paraId="3D83EB2B">
      <w:pPr>
        <w:spacing w:after="156" w:afterLines="50"/>
        <w:jc w:val="center"/>
        <w:rPr>
          <w:rFonts w:hint="eastAsia" w:ascii="宋体" w:hAnsi="宋体" w:eastAsia="宋体" w:cs="宋体"/>
          <w:b/>
          <w:color w:val="auto"/>
          <w:sz w:val="72"/>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lang w:val="en-US" w:eastAsia="zh-CN"/>
        </w:rPr>
        <w:t>商务部分</w:t>
      </w:r>
      <w:r>
        <w:rPr>
          <w:rFonts w:hint="eastAsia" w:ascii="宋体" w:hAnsi="宋体" w:eastAsia="宋体" w:cs="宋体"/>
          <w:b/>
          <w:color w:val="auto"/>
          <w:sz w:val="44"/>
          <w:szCs w:val="44"/>
          <w:highlight w:val="none"/>
          <w:lang w:eastAsia="zh-CN"/>
        </w:rPr>
        <w:t>）</w:t>
      </w:r>
    </w:p>
    <w:p w14:paraId="646470C5">
      <w:pPr>
        <w:spacing w:before="156" w:beforeLines="50" w:after="156" w:afterLines="50"/>
        <w:jc w:val="center"/>
        <w:outlineLvl w:val="9"/>
        <w:rPr>
          <w:rFonts w:hint="eastAsia" w:ascii="宋体" w:hAnsi="宋体" w:eastAsia="宋体" w:cs="宋体"/>
          <w:b/>
          <w:color w:val="auto"/>
          <w:sz w:val="32"/>
          <w:szCs w:val="32"/>
          <w:highlight w:val="none"/>
        </w:rPr>
      </w:pPr>
    </w:p>
    <w:p w14:paraId="51A508D5">
      <w:pPr>
        <w:spacing w:after="156" w:afterLines="50" w:line="500" w:lineRule="exact"/>
        <w:jc w:val="center"/>
        <w:rPr>
          <w:rFonts w:hint="eastAsia" w:ascii="宋体" w:hAnsi="宋体" w:eastAsia="宋体" w:cs="宋体"/>
          <w:b/>
          <w:color w:val="auto"/>
          <w:sz w:val="28"/>
          <w:szCs w:val="28"/>
          <w:highlight w:val="none"/>
        </w:rPr>
      </w:pPr>
    </w:p>
    <w:p w14:paraId="31D7E903">
      <w:pPr>
        <w:spacing w:after="156" w:afterLines="50" w:line="500" w:lineRule="exact"/>
        <w:jc w:val="center"/>
        <w:rPr>
          <w:rFonts w:hint="eastAsia" w:ascii="宋体" w:hAnsi="宋体" w:eastAsia="宋体" w:cs="宋体"/>
          <w:b/>
          <w:color w:val="auto"/>
          <w:sz w:val="28"/>
          <w:szCs w:val="28"/>
          <w:highlight w:val="none"/>
        </w:rPr>
      </w:pPr>
    </w:p>
    <w:p w14:paraId="7E59EF59">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5940A303">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7C847685">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 xml:space="preserve">投 </w:t>
      </w:r>
      <w:r>
        <w:rPr>
          <w:rFonts w:hint="eastAsia" w:ascii="宋体" w:hAnsi="宋体" w:eastAsia="宋体" w:cs="宋体"/>
          <w:b/>
          <w:color w:val="auto"/>
          <w:sz w:val="32"/>
          <w:highlight w:val="none"/>
        </w:rPr>
        <w:t>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7EE4D938">
      <w:pPr>
        <w:spacing w:after="156" w:afterLines="50" w:line="5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p>
    <w:p w14:paraId="6B831539">
      <w:pPr>
        <w:spacing w:line="360" w:lineRule="auto"/>
        <w:jc w:val="center"/>
        <w:outlineLvl w:val="1"/>
        <w:rPr>
          <w:rFonts w:hint="eastAsia" w:ascii="宋体" w:hAnsi="宋体" w:eastAsia="宋体"/>
          <w:b/>
          <w:color w:val="auto"/>
          <w:sz w:val="24"/>
          <w:highlight w:val="none"/>
        </w:rPr>
      </w:pPr>
    </w:p>
    <w:p w14:paraId="3C18651E">
      <w:pPr>
        <w:widowControl/>
        <w:jc w:val="cente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目  录</w:t>
      </w:r>
    </w:p>
    <w:p w14:paraId="7FA34A4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开标一览表（格式见附件）；</w:t>
      </w:r>
    </w:p>
    <w:p w14:paraId="492AC1B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（2）投标函（格式见附件）； </w:t>
      </w:r>
    </w:p>
    <w:p w14:paraId="589E2E9C">
      <w:p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（3）分项报价单（格式见附件）</w:t>
      </w:r>
    </w:p>
    <w:p w14:paraId="70B370F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（4）商务评审需要或投标人认为需要提供的其他评审及证明材料</w:t>
      </w:r>
    </w:p>
    <w:p w14:paraId="176F780F">
      <w:pPr>
        <w:spacing w:line="360" w:lineRule="auto"/>
        <w:jc w:val="center"/>
        <w:outlineLvl w:val="1"/>
        <w:rPr>
          <w:rFonts w:hint="eastAsia" w:ascii="宋体" w:hAnsi="宋体" w:eastAsia="宋体"/>
          <w:b/>
          <w:color w:val="auto"/>
          <w:sz w:val="24"/>
          <w:highlight w:val="none"/>
        </w:rPr>
      </w:pPr>
    </w:p>
    <w:p w14:paraId="177B5B03">
      <w:pPr>
        <w:spacing w:line="360" w:lineRule="auto"/>
        <w:jc w:val="center"/>
        <w:outlineLvl w:val="1"/>
        <w:rPr>
          <w:rFonts w:hint="eastAsia" w:ascii="宋体" w:hAnsi="宋体" w:eastAsia="宋体"/>
          <w:b/>
          <w:color w:val="auto"/>
          <w:sz w:val="24"/>
          <w:highlight w:val="none"/>
        </w:rPr>
      </w:pPr>
    </w:p>
    <w:p w14:paraId="5F7986AF">
      <w:pPr>
        <w:spacing w:line="360" w:lineRule="auto"/>
        <w:jc w:val="center"/>
        <w:outlineLvl w:val="1"/>
        <w:rPr>
          <w:rFonts w:hint="eastAsia" w:ascii="宋体" w:hAnsi="宋体" w:eastAsia="宋体"/>
          <w:b/>
          <w:color w:val="auto"/>
          <w:sz w:val="24"/>
          <w:highlight w:val="none"/>
        </w:rPr>
      </w:pPr>
    </w:p>
    <w:p w14:paraId="4047779B">
      <w:pPr>
        <w:spacing w:line="360" w:lineRule="auto"/>
        <w:jc w:val="center"/>
        <w:outlineLvl w:val="1"/>
        <w:rPr>
          <w:rFonts w:hint="eastAsia" w:ascii="宋体" w:hAnsi="宋体" w:eastAsia="宋体"/>
          <w:b/>
          <w:color w:val="auto"/>
          <w:sz w:val="24"/>
          <w:highlight w:val="none"/>
        </w:rPr>
      </w:pPr>
    </w:p>
    <w:p w14:paraId="6D99578E">
      <w:pPr>
        <w:spacing w:line="360" w:lineRule="auto"/>
        <w:jc w:val="center"/>
        <w:outlineLvl w:val="1"/>
        <w:rPr>
          <w:rFonts w:hint="eastAsia" w:ascii="宋体" w:hAnsi="宋体" w:eastAsia="宋体"/>
          <w:b/>
          <w:color w:val="auto"/>
          <w:sz w:val="24"/>
          <w:highlight w:val="none"/>
        </w:rPr>
      </w:pPr>
    </w:p>
    <w:p w14:paraId="795D2A40">
      <w:pPr>
        <w:spacing w:line="360" w:lineRule="auto"/>
        <w:jc w:val="center"/>
        <w:outlineLvl w:val="1"/>
        <w:rPr>
          <w:rFonts w:hint="eastAsia" w:ascii="宋体" w:hAnsi="宋体" w:eastAsia="宋体"/>
          <w:b/>
          <w:color w:val="auto"/>
          <w:sz w:val="24"/>
          <w:highlight w:val="none"/>
        </w:rPr>
      </w:pPr>
    </w:p>
    <w:p w14:paraId="725643D6">
      <w:pPr>
        <w:spacing w:line="360" w:lineRule="auto"/>
        <w:jc w:val="center"/>
        <w:outlineLvl w:val="1"/>
        <w:rPr>
          <w:rFonts w:hint="eastAsia" w:ascii="宋体" w:hAnsi="宋体" w:eastAsia="宋体"/>
          <w:b/>
          <w:color w:val="auto"/>
          <w:sz w:val="24"/>
          <w:highlight w:val="none"/>
        </w:rPr>
      </w:pPr>
    </w:p>
    <w:p w14:paraId="661481E2">
      <w:pPr>
        <w:spacing w:line="360" w:lineRule="auto"/>
        <w:jc w:val="center"/>
        <w:outlineLvl w:val="1"/>
        <w:rPr>
          <w:rFonts w:hint="eastAsia" w:ascii="宋体" w:hAnsi="宋体" w:eastAsia="宋体"/>
          <w:b/>
          <w:color w:val="auto"/>
          <w:sz w:val="24"/>
          <w:highlight w:val="none"/>
        </w:rPr>
      </w:pPr>
    </w:p>
    <w:p w14:paraId="5C150CD6">
      <w:pPr>
        <w:spacing w:line="360" w:lineRule="auto"/>
        <w:jc w:val="center"/>
        <w:outlineLvl w:val="1"/>
        <w:rPr>
          <w:rFonts w:hint="eastAsia" w:ascii="宋体" w:hAnsi="宋体" w:eastAsia="宋体"/>
          <w:b/>
          <w:color w:val="auto"/>
          <w:sz w:val="24"/>
          <w:highlight w:val="none"/>
        </w:rPr>
      </w:pPr>
    </w:p>
    <w:p w14:paraId="65415C60">
      <w:pPr>
        <w:spacing w:line="360" w:lineRule="auto"/>
        <w:jc w:val="center"/>
        <w:outlineLvl w:val="1"/>
        <w:rPr>
          <w:rFonts w:hint="eastAsia" w:ascii="宋体" w:hAnsi="宋体" w:eastAsia="宋体"/>
          <w:b/>
          <w:color w:val="auto"/>
          <w:sz w:val="24"/>
          <w:highlight w:val="none"/>
        </w:rPr>
      </w:pPr>
    </w:p>
    <w:p w14:paraId="5C42F646">
      <w:pPr>
        <w:spacing w:line="360" w:lineRule="auto"/>
        <w:jc w:val="center"/>
        <w:outlineLvl w:val="1"/>
        <w:rPr>
          <w:rFonts w:hint="eastAsia" w:ascii="宋体" w:hAnsi="宋体" w:eastAsia="宋体"/>
          <w:b/>
          <w:color w:val="auto"/>
          <w:sz w:val="24"/>
          <w:highlight w:val="none"/>
        </w:rPr>
      </w:pPr>
    </w:p>
    <w:p w14:paraId="4A912C41">
      <w:pPr>
        <w:spacing w:line="360" w:lineRule="auto"/>
        <w:jc w:val="center"/>
        <w:outlineLvl w:val="1"/>
        <w:rPr>
          <w:rFonts w:hint="eastAsia" w:ascii="宋体" w:hAnsi="宋体" w:eastAsia="宋体"/>
          <w:b/>
          <w:color w:val="auto"/>
          <w:sz w:val="24"/>
          <w:highlight w:val="none"/>
        </w:rPr>
      </w:pPr>
    </w:p>
    <w:p w14:paraId="3B98D788">
      <w:pPr>
        <w:spacing w:line="360" w:lineRule="auto"/>
        <w:jc w:val="center"/>
        <w:outlineLvl w:val="1"/>
        <w:rPr>
          <w:rFonts w:hint="eastAsia" w:ascii="宋体" w:hAnsi="宋体" w:eastAsia="宋体"/>
          <w:b/>
          <w:color w:val="auto"/>
          <w:sz w:val="24"/>
          <w:highlight w:val="none"/>
        </w:rPr>
      </w:pPr>
    </w:p>
    <w:p w14:paraId="294ED1AF">
      <w:pPr>
        <w:spacing w:line="360" w:lineRule="auto"/>
        <w:jc w:val="center"/>
        <w:outlineLvl w:val="1"/>
        <w:rPr>
          <w:rFonts w:hint="eastAsia" w:ascii="宋体" w:hAnsi="宋体" w:eastAsia="宋体"/>
          <w:b/>
          <w:color w:val="auto"/>
          <w:sz w:val="24"/>
          <w:highlight w:val="none"/>
        </w:rPr>
      </w:pPr>
    </w:p>
    <w:p w14:paraId="4A069980">
      <w:pPr>
        <w:spacing w:line="360" w:lineRule="auto"/>
        <w:jc w:val="center"/>
        <w:outlineLvl w:val="1"/>
        <w:rPr>
          <w:rFonts w:hint="eastAsia" w:ascii="宋体" w:hAnsi="宋体" w:eastAsia="宋体"/>
          <w:b/>
          <w:color w:val="auto"/>
          <w:sz w:val="24"/>
          <w:highlight w:val="none"/>
        </w:rPr>
      </w:pPr>
    </w:p>
    <w:p w14:paraId="10F2C827">
      <w:pPr>
        <w:spacing w:line="360" w:lineRule="auto"/>
        <w:jc w:val="center"/>
        <w:outlineLvl w:val="1"/>
        <w:rPr>
          <w:rFonts w:hint="eastAsia" w:ascii="宋体" w:hAnsi="宋体" w:eastAsia="宋体"/>
          <w:b/>
          <w:color w:val="auto"/>
          <w:sz w:val="24"/>
          <w:highlight w:val="none"/>
        </w:rPr>
      </w:pPr>
    </w:p>
    <w:p w14:paraId="09DC93CA">
      <w:pPr>
        <w:spacing w:line="360" w:lineRule="auto"/>
        <w:jc w:val="center"/>
        <w:outlineLvl w:val="1"/>
        <w:rPr>
          <w:rFonts w:hint="eastAsia" w:ascii="宋体" w:hAnsi="宋体" w:eastAsia="宋体"/>
          <w:b/>
          <w:color w:val="auto"/>
          <w:sz w:val="24"/>
          <w:highlight w:val="none"/>
        </w:rPr>
      </w:pPr>
    </w:p>
    <w:p w14:paraId="659E087C">
      <w:pPr>
        <w:spacing w:line="360" w:lineRule="auto"/>
        <w:jc w:val="center"/>
        <w:outlineLvl w:val="1"/>
        <w:rPr>
          <w:rFonts w:hint="eastAsia" w:ascii="宋体" w:hAnsi="宋体" w:eastAsia="宋体"/>
          <w:b/>
          <w:color w:val="auto"/>
          <w:sz w:val="24"/>
          <w:highlight w:val="none"/>
        </w:rPr>
      </w:pPr>
    </w:p>
    <w:p w14:paraId="5378618F">
      <w:pPr>
        <w:spacing w:line="360" w:lineRule="auto"/>
        <w:jc w:val="center"/>
        <w:outlineLvl w:val="1"/>
        <w:rPr>
          <w:rFonts w:hint="eastAsia" w:ascii="宋体" w:hAnsi="宋体" w:eastAsia="宋体"/>
          <w:b/>
          <w:color w:val="auto"/>
          <w:sz w:val="24"/>
          <w:highlight w:val="none"/>
        </w:rPr>
      </w:pPr>
    </w:p>
    <w:p w14:paraId="65B59A34">
      <w:pPr>
        <w:spacing w:line="360" w:lineRule="auto"/>
        <w:jc w:val="center"/>
        <w:outlineLvl w:val="1"/>
        <w:rPr>
          <w:rFonts w:hint="eastAsia" w:ascii="宋体" w:hAnsi="宋体" w:eastAsia="宋体"/>
          <w:b/>
          <w:color w:val="auto"/>
          <w:sz w:val="24"/>
          <w:highlight w:val="none"/>
        </w:rPr>
      </w:pPr>
    </w:p>
    <w:p w14:paraId="439C8EFD">
      <w:pPr>
        <w:spacing w:line="360" w:lineRule="auto"/>
        <w:jc w:val="center"/>
        <w:outlineLvl w:val="1"/>
        <w:rPr>
          <w:rFonts w:hint="eastAsia" w:ascii="宋体" w:hAnsi="宋体" w:eastAsia="宋体"/>
          <w:b/>
          <w:color w:val="auto"/>
          <w:sz w:val="24"/>
          <w:highlight w:val="none"/>
        </w:rPr>
      </w:pPr>
    </w:p>
    <w:p w14:paraId="2460B884">
      <w:pPr>
        <w:spacing w:line="360" w:lineRule="auto"/>
        <w:jc w:val="center"/>
        <w:outlineLvl w:val="1"/>
        <w:rPr>
          <w:rFonts w:hint="eastAsia" w:ascii="宋体" w:hAnsi="宋体" w:eastAsia="宋体"/>
          <w:b/>
          <w:color w:val="auto"/>
          <w:sz w:val="24"/>
          <w:highlight w:val="none"/>
        </w:rPr>
      </w:pPr>
    </w:p>
    <w:p w14:paraId="4F17E15D">
      <w:pPr>
        <w:spacing w:line="360" w:lineRule="auto"/>
        <w:jc w:val="center"/>
        <w:outlineLvl w:val="1"/>
        <w:rPr>
          <w:rFonts w:hint="eastAsia" w:ascii="宋体" w:hAnsi="宋体" w:eastAsia="宋体"/>
          <w:b/>
          <w:color w:val="auto"/>
          <w:sz w:val="24"/>
          <w:highlight w:val="none"/>
        </w:rPr>
      </w:pPr>
    </w:p>
    <w:p w14:paraId="7FC3FF55">
      <w:pPr>
        <w:spacing w:line="360" w:lineRule="auto"/>
        <w:jc w:val="center"/>
        <w:outlineLvl w:val="1"/>
        <w:rPr>
          <w:rFonts w:hint="eastAsia" w:ascii="宋体" w:hAnsi="宋体" w:eastAsia="宋体"/>
          <w:b/>
          <w:color w:val="auto"/>
          <w:sz w:val="24"/>
          <w:highlight w:val="none"/>
        </w:rPr>
      </w:pPr>
    </w:p>
    <w:p w14:paraId="1C6105F2">
      <w:pPr>
        <w:spacing w:line="360" w:lineRule="auto"/>
        <w:jc w:val="center"/>
        <w:outlineLvl w:val="1"/>
        <w:rPr>
          <w:rFonts w:hint="eastAsia" w:ascii="宋体" w:hAnsi="宋体" w:eastAsia="宋体"/>
          <w:b/>
          <w:color w:val="auto"/>
          <w:sz w:val="24"/>
          <w:highlight w:val="none"/>
        </w:rPr>
      </w:pPr>
    </w:p>
    <w:p w14:paraId="1ACB0579">
      <w:pPr>
        <w:spacing w:line="360" w:lineRule="auto"/>
        <w:jc w:val="center"/>
        <w:outlineLvl w:val="1"/>
        <w:rPr>
          <w:rFonts w:ascii="宋体" w:hAnsi="宋体" w:eastAsia="宋体"/>
          <w:b/>
          <w:color w:val="auto"/>
          <w:sz w:val="24"/>
          <w:highlight w:val="none"/>
        </w:rPr>
      </w:pPr>
      <w:r>
        <w:rPr>
          <w:rFonts w:hint="eastAsia" w:ascii="宋体" w:hAnsi="宋体" w:eastAsia="宋体"/>
          <w:b/>
          <w:color w:val="auto"/>
          <w:sz w:val="24"/>
          <w:highlight w:val="none"/>
        </w:rPr>
        <w:t>一、开标一览表</w:t>
      </w:r>
      <w:bookmarkEnd w:id="202"/>
      <w:bookmarkEnd w:id="203"/>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268"/>
      </w:tblGrid>
      <w:tr w14:paraId="0C2D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899997F">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567A5556">
            <w:pPr>
              <w:spacing w:line="360" w:lineRule="exact"/>
              <w:jc w:val="center"/>
              <w:rPr>
                <w:rFonts w:ascii="宋体" w:hAnsi="宋体" w:eastAsia="宋体"/>
                <w:bCs/>
                <w:color w:val="auto"/>
                <w:sz w:val="24"/>
                <w:highlight w:val="none"/>
                <w:u w:val="single"/>
              </w:rPr>
            </w:pPr>
          </w:p>
        </w:tc>
      </w:tr>
      <w:tr w14:paraId="7135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41A0DE5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3123539F">
            <w:pPr>
              <w:spacing w:line="360" w:lineRule="auto"/>
              <w:rPr>
                <w:rFonts w:ascii="宋体" w:hAnsi="宋体" w:eastAsia="宋体"/>
                <w:color w:val="auto"/>
                <w:sz w:val="24"/>
                <w:highlight w:val="none"/>
              </w:rPr>
            </w:pPr>
          </w:p>
        </w:tc>
      </w:tr>
      <w:tr w14:paraId="6C3C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4850723">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0988779">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全部/第</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rPr>
              <w:t>包</w:t>
            </w:r>
          </w:p>
        </w:tc>
      </w:tr>
      <w:tr w14:paraId="4945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1352" w:type="pct"/>
            <w:tcBorders>
              <w:top w:val="nil"/>
            </w:tcBorders>
            <w:vAlign w:val="center"/>
          </w:tcPr>
          <w:p w14:paraId="13DCC727">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1AF4A18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p>
          <w:p w14:paraId="4E60FCC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FB507A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p>
          <w:p w14:paraId="1DFDDE32">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1234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221437E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5FF4901C">
            <w:pPr>
              <w:spacing w:line="360" w:lineRule="auto"/>
              <w:jc w:val="left"/>
              <w:rPr>
                <w:rFonts w:ascii="宋体" w:hAnsi="宋体" w:eastAsia="宋体"/>
                <w:color w:val="auto"/>
                <w:sz w:val="24"/>
                <w:szCs w:val="28"/>
                <w:highlight w:val="none"/>
              </w:rPr>
            </w:pPr>
          </w:p>
        </w:tc>
      </w:tr>
    </w:tbl>
    <w:p w14:paraId="39AD3A2A">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E29A777">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BB46F12">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33FD55DC">
      <w:pPr>
        <w:spacing w:line="360" w:lineRule="auto"/>
        <w:ind w:firstLine="360" w:firstLineChars="150"/>
        <w:rPr>
          <w:rFonts w:ascii="宋体" w:hAnsi="宋体" w:eastAsia="宋体"/>
          <w:color w:val="auto"/>
          <w:sz w:val="24"/>
          <w:highlight w:val="none"/>
        </w:rPr>
      </w:pPr>
    </w:p>
    <w:p w14:paraId="0C937110">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4BD136F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5674086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55EEFD9E">
      <w:pPr>
        <w:spacing w:line="360" w:lineRule="auto"/>
        <w:ind w:firstLine="480" w:firstLineChars="200"/>
        <w:jc w:val="both"/>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F9424AE">
      <w:pPr>
        <w:spacing w:line="360" w:lineRule="auto"/>
        <w:jc w:val="center"/>
        <w:outlineLvl w:val="1"/>
        <w:rPr>
          <w:rFonts w:ascii="宋体" w:hAnsi="宋体" w:eastAsia="宋体"/>
          <w:b/>
          <w:color w:val="auto"/>
          <w:sz w:val="24"/>
          <w:highlight w:val="none"/>
        </w:rPr>
      </w:pPr>
      <w:bookmarkStart w:id="204" w:name="_Toc18010"/>
      <w:bookmarkStart w:id="205" w:name="_Toc6441"/>
      <w:r>
        <w:rPr>
          <w:rFonts w:hint="eastAsia" w:ascii="宋体" w:hAnsi="宋体" w:eastAsia="宋体"/>
          <w:b/>
          <w:color w:val="auto"/>
          <w:sz w:val="24"/>
          <w:highlight w:val="none"/>
        </w:rPr>
        <w:t>二、投标函</w:t>
      </w:r>
      <w:bookmarkEnd w:id="204"/>
      <w:bookmarkEnd w:id="205"/>
    </w:p>
    <w:p w14:paraId="5CB88AB1">
      <w:pPr>
        <w:pStyle w:val="13"/>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0A0C59C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057AC1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0ABDF81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098BEA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767EE64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665519A7">
      <w:pPr>
        <w:spacing w:line="360" w:lineRule="auto"/>
        <w:ind w:firstLine="4800" w:firstLineChars="2000"/>
        <w:rPr>
          <w:rFonts w:ascii="宋体" w:hAnsi="宋体" w:eastAsia="宋体"/>
          <w:color w:val="auto"/>
          <w:sz w:val="24"/>
          <w:highlight w:val="none"/>
        </w:rPr>
      </w:pPr>
    </w:p>
    <w:p w14:paraId="3C293CF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7667118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D5E937E">
      <w:pPr>
        <w:spacing w:line="360" w:lineRule="auto"/>
        <w:jc w:val="center"/>
        <w:outlineLvl w:val="0"/>
        <w:rPr>
          <w:rFonts w:hint="eastAsia" w:ascii="宋体" w:hAnsi="宋体" w:eastAsia="宋体"/>
          <w:b/>
          <w:color w:val="auto"/>
          <w:sz w:val="28"/>
          <w:highlight w:val="none"/>
        </w:rPr>
      </w:pPr>
    </w:p>
    <w:p w14:paraId="7FABD79C">
      <w:pPr>
        <w:spacing w:line="360" w:lineRule="auto"/>
        <w:jc w:val="center"/>
        <w:outlineLvl w:val="0"/>
        <w:rPr>
          <w:rFonts w:hint="eastAsia" w:ascii="宋体" w:hAnsi="宋体" w:eastAsia="宋体"/>
          <w:b/>
          <w:color w:val="auto"/>
          <w:sz w:val="28"/>
          <w:highlight w:val="none"/>
        </w:rPr>
      </w:pPr>
    </w:p>
    <w:p w14:paraId="621B3F03">
      <w:pPr>
        <w:spacing w:line="360" w:lineRule="auto"/>
        <w:jc w:val="center"/>
        <w:outlineLvl w:val="0"/>
        <w:rPr>
          <w:rFonts w:hint="eastAsia" w:ascii="宋体" w:hAnsi="宋体" w:eastAsia="宋体"/>
          <w:b/>
          <w:color w:val="auto"/>
          <w:sz w:val="28"/>
          <w:highlight w:val="none"/>
        </w:rPr>
      </w:pPr>
    </w:p>
    <w:p w14:paraId="28E6469F">
      <w:pPr>
        <w:spacing w:line="360" w:lineRule="auto"/>
        <w:jc w:val="center"/>
        <w:outlineLvl w:val="0"/>
        <w:rPr>
          <w:rFonts w:hint="eastAsia" w:ascii="宋体" w:hAnsi="宋体" w:eastAsia="宋体"/>
          <w:b/>
          <w:color w:val="auto"/>
          <w:sz w:val="28"/>
          <w:highlight w:val="none"/>
        </w:rPr>
      </w:pPr>
    </w:p>
    <w:p w14:paraId="79808C42">
      <w:pPr>
        <w:spacing w:line="360" w:lineRule="auto"/>
        <w:jc w:val="center"/>
        <w:outlineLvl w:val="1"/>
        <w:rPr>
          <w:rFonts w:hint="eastAsia" w:ascii="宋体" w:hAnsi="宋体" w:eastAsia="宋体" w:cs="宋体"/>
          <w:b/>
          <w:color w:val="auto"/>
          <w:sz w:val="24"/>
          <w:highlight w:val="none"/>
          <w:lang w:val="en-US" w:eastAsia="zh-CN"/>
        </w:rPr>
      </w:pPr>
      <w:bookmarkStart w:id="206" w:name="_Toc32534"/>
      <w:bookmarkStart w:id="207" w:name="_Hlk11701496"/>
    </w:p>
    <w:bookmarkEnd w:id="206"/>
    <w:bookmarkEnd w:id="207"/>
    <w:p w14:paraId="57C477CC">
      <w:pPr>
        <w:spacing w:line="360" w:lineRule="auto"/>
        <w:jc w:val="both"/>
        <w:outlineLvl w:val="1"/>
        <w:rPr>
          <w:rFonts w:hint="eastAsia" w:ascii="宋体" w:hAnsi="宋体" w:eastAsia="宋体" w:cs="宋体"/>
          <w:b/>
          <w:color w:val="auto"/>
          <w:sz w:val="24"/>
          <w:highlight w:val="none"/>
          <w:lang w:val="en-US" w:eastAsia="zh-CN"/>
        </w:rPr>
      </w:pPr>
      <w:bookmarkStart w:id="208" w:name="_Toc31807"/>
      <w:bookmarkStart w:id="209" w:name="_Toc32633"/>
      <w:r>
        <w:rPr>
          <w:rFonts w:hint="eastAsia" w:ascii="宋体" w:hAnsi="宋体" w:eastAsia="宋体" w:cs="宋体"/>
          <w:b/>
          <w:color w:val="auto"/>
          <w:sz w:val="24"/>
          <w:highlight w:val="none"/>
          <w:lang w:val="en-US" w:eastAsia="zh-CN"/>
        </w:rPr>
        <w:t>其他相关证明材料</w:t>
      </w:r>
      <w:bookmarkEnd w:id="208"/>
      <w:bookmarkEnd w:id="209"/>
    </w:p>
    <w:p w14:paraId="23FB95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提供符合投标邀请、采购需求及评标方法和标准规定的相关证明文件。</w:t>
      </w:r>
    </w:p>
    <w:p w14:paraId="54EEAF05">
      <w:pPr>
        <w:spacing w:line="360" w:lineRule="auto"/>
        <w:ind w:firstLine="480" w:firstLineChars="200"/>
        <w:rPr>
          <w:rFonts w:hint="eastAsia" w:ascii="宋体" w:hAnsi="宋体" w:eastAsia="宋体" w:cs="宋体"/>
          <w:color w:val="auto"/>
          <w:sz w:val="24"/>
          <w:highlight w:val="none"/>
        </w:rPr>
      </w:pPr>
    </w:p>
    <w:p w14:paraId="16228A74">
      <w:pPr>
        <w:spacing w:line="360" w:lineRule="auto"/>
        <w:jc w:val="center"/>
        <w:outlineLvl w:val="0"/>
        <w:rPr>
          <w:rFonts w:hint="eastAsia" w:ascii="宋体" w:hAnsi="宋体" w:eastAsia="宋体" w:cs="宋体"/>
          <w:b/>
          <w:color w:val="auto"/>
          <w:sz w:val="28"/>
          <w:highlight w:val="none"/>
        </w:rPr>
      </w:pPr>
      <w:bookmarkStart w:id="210" w:name="_Toc6435"/>
      <w:bookmarkStart w:id="211" w:name="_Toc20819"/>
    </w:p>
    <w:p w14:paraId="40F32587">
      <w:pPr>
        <w:spacing w:line="360" w:lineRule="auto"/>
        <w:jc w:val="center"/>
        <w:outlineLvl w:val="0"/>
        <w:rPr>
          <w:rFonts w:hint="eastAsia" w:ascii="宋体" w:hAnsi="宋体" w:eastAsia="宋体" w:cs="宋体"/>
          <w:b/>
          <w:color w:val="auto"/>
          <w:sz w:val="28"/>
          <w:highlight w:val="none"/>
        </w:rPr>
      </w:pPr>
    </w:p>
    <w:p w14:paraId="6E5AF1CE">
      <w:pPr>
        <w:spacing w:line="360" w:lineRule="auto"/>
        <w:jc w:val="center"/>
        <w:outlineLvl w:val="0"/>
        <w:rPr>
          <w:rFonts w:hint="eastAsia" w:ascii="宋体" w:hAnsi="宋体" w:eastAsia="宋体" w:cs="宋体"/>
          <w:b/>
          <w:color w:val="auto"/>
          <w:sz w:val="28"/>
          <w:highlight w:val="none"/>
        </w:rPr>
      </w:pPr>
    </w:p>
    <w:p w14:paraId="3BB875DA">
      <w:pPr>
        <w:spacing w:line="360" w:lineRule="auto"/>
        <w:jc w:val="center"/>
        <w:outlineLvl w:val="1"/>
        <w:rPr>
          <w:rFonts w:hint="eastAsia" w:ascii="宋体" w:hAnsi="宋体" w:eastAsia="宋体"/>
          <w:b/>
          <w:color w:val="auto"/>
          <w:sz w:val="24"/>
          <w:highlight w:val="none"/>
        </w:rPr>
      </w:pPr>
    </w:p>
    <w:p w14:paraId="730912AF">
      <w:pPr>
        <w:spacing w:line="360" w:lineRule="auto"/>
        <w:jc w:val="center"/>
        <w:outlineLvl w:val="1"/>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分项报价单</w:t>
      </w:r>
    </w:p>
    <w:tbl>
      <w:tblPr>
        <w:tblStyle w:val="25"/>
        <w:tblpPr w:leftFromText="180" w:rightFromText="180" w:vertAnchor="text" w:horzAnchor="page" w:tblpXSpec="center" w:tblpY="618"/>
        <w:tblOverlap w:val="never"/>
        <w:tblW w:w="1029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3"/>
        <w:gridCol w:w="2783"/>
        <w:gridCol w:w="816"/>
        <w:gridCol w:w="644"/>
        <w:gridCol w:w="1427"/>
        <w:gridCol w:w="1545"/>
        <w:gridCol w:w="1395"/>
        <w:gridCol w:w="1106"/>
      </w:tblGrid>
      <w:tr w14:paraId="4240AD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6" w:hRule="atLeast"/>
          <w:jc w:val="center"/>
        </w:trPr>
        <w:tc>
          <w:tcPr>
            <w:tcW w:w="0" w:type="auto"/>
            <w:vAlign w:val="center"/>
          </w:tcPr>
          <w:p w14:paraId="636FBC79">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0" w:type="auto"/>
            <w:vAlign w:val="center"/>
          </w:tcPr>
          <w:p w14:paraId="62F9226E">
            <w:pPr>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0" w:type="auto"/>
            <w:tcBorders>
              <w:right w:val="single" w:color="auto" w:sz="4" w:space="0"/>
            </w:tcBorders>
            <w:vAlign w:val="center"/>
          </w:tcPr>
          <w:p w14:paraId="2C5D846F">
            <w:pPr>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0" w:type="auto"/>
            <w:tcBorders>
              <w:left w:val="single" w:color="auto" w:sz="4" w:space="0"/>
            </w:tcBorders>
            <w:vAlign w:val="center"/>
          </w:tcPr>
          <w:p w14:paraId="45C18882">
            <w:pPr>
              <w:ind w:left="61"/>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427" w:type="dxa"/>
            <w:vAlign w:val="center"/>
          </w:tcPr>
          <w:p w14:paraId="263D6E44">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最高限价</w:t>
            </w:r>
            <w:r>
              <w:rPr>
                <w:rFonts w:hint="eastAsia" w:ascii="宋体" w:hAnsi="宋体" w:eastAsia="宋体" w:cs="宋体"/>
                <w:b/>
                <w:sz w:val="24"/>
                <w:szCs w:val="24"/>
              </w:rPr>
              <w:t>单价（元</w:t>
            </w:r>
            <w:r>
              <w:rPr>
                <w:rFonts w:hint="eastAsia" w:ascii="宋体" w:hAnsi="宋体" w:eastAsia="宋体" w:cs="宋体"/>
                <w:b/>
                <w:sz w:val="24"/>
                <w:szCs w:val="24"/>
                <w:lang w:val="en-US" w:eastAsia="zh-CN"/>
              </w:rPr>
              <w:t>/㎡</w:t>
            </w:r>
            <w:r>
              <w:rPr>
                <w:rFonts w:hint="eastAsia" w:ascii="宋体" w:hAnsi="宋体" w:eastAsia="宋体" w:cs="宋体"/>
                <w:b/>
                <w:sz w:val="24"/>
                <w:szCs w:val="24"/>
              </w:rPr>
              <w:t xml:space="preserve">） </w:t>
            </w:r>
          </w:p>
        </w:tc>
        <w:tc>
          <w:tcPr>
            <w:tcW w:w="1545" w:type="dxa"/>
            <w:vAlign w:val="center"/>
          </w:tcPr>
          <w:p w14:paraId="5ADE516E">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投标单价</w:t>
            </w:r>
            <w:r>
              <w:rPr>
                <w:rFonts w:hint="eastAsia" w:ascii="宋体" w:hAnsi="宋体" w:eastAsia="宋体" w:cs="宋体"/>
                <w:b/>
                <w:color w:val="0000FF"/>
                <w:sz w:val="24"/>
                <w:szCs w:val="24"/>
                <w:highlight w:val="yellow"/>
              </w:rPr>
              <w:t>（元</w:t>
            </w:r>
            <w:r>
              <w:rPr>
                <w:rFonts w:hint="eastAsia" w:ascii="宋体" w:hAnsi="宋体" w:eastAsia="宋体" w:cs="宋体"/>
                <w:b/>
                <w:color w:val="0000FF"/>
                <w:sz w:val="24"/>
                <w:szCs w:val="24"/>
                <w:highlight w:val="yellow"/>
                <w:lang w:val="en-US" w:eastAsia="zh-CN"/>
              </w:rPr>
              <w:t>/㎡/天</w:t>
            </w:r>
            <w:r>
              <w:rPr>
                <w:rFonts w:hint="eastAsia" w:ascii="宋体" w:hAnsi="宋体" w:eastAsia="宋体" w:cs="宋体"/>
                <w:b/>
                <w:color w:val="0000FF"/>
                <w:sz w:val="24"/>
                <w:szCs w:val="24"/>
                <w:highlight w:val="yellow"/>
              </w:rPr>
              <w:t>）</w:t>
            </w:r>
            <w:r>
              <w:rPr>
                <w:rFonts w:hint="eastAsia" w:ascii="宋体" w:hAnsi="宋体" w:eastAsia="宋体" w:cs="宋体"/>
                <w:b/>
                <w:sz w:val="24"/>
                <w:szCs w:val="24"/>
              </w:rPr>
              <w:t xml:space="preserve"> </w:t>
            </w:r>
          </w:p>
        </w:tc>
        <w:tc>
          <w:tcPr>
            <w:tcW w:w="1395" w:type="dxa"/>
            <w:vAlign w:val="center"/>
          </w:tcPr>
          <w:p w14:paraId="2C60020E">
            <w:pPr>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投标小计（元/年）</w:t>
            </w:r>
          </w:p>
        </w:tc>
        <w:tc>
          <w:tcPr>
            <w:tcW w:w="1106" w:type="dxa"/>
            <w:vAlign w:val="center"/>
          </w:tcPr>
          <w:p w14:paraId="5108F2FB">
            <w:pPr>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投标总价（元）</w:t>
            </w:r>
          </w:p>
        </w:tc>
      </w:tr>
      <w:tr w14:paraId="4538BA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jc w:val="center"/>
        </w:trPr>
        <w:tc>
          <w:tcPr>
            <w:tcW w:w="0" w:type="auto"/>
            <w:vAlign w:val="center"/>
          </w:tcPr>
          <w:p w14:paraId="3BA7E8D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0" w:type="auto"/>
            <w:shd w:val="clear" w:color="auto" w:fill="auto"/>
            <w:vAlign w:val="center"/>
          </w:tcPr>
          <w:p w14:paraId="7E2339C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西区农疗场地（2025年4月28日到期）</w:t>
            </w:r>
          </w:p>
        </w:tc>
        <w:tc>
          <w:tcPr>
            <w:tcW w:w="0" w:type="auto"/>
            <w:tcBorders>
              <w:right w:val="single" w:color="auto" w:sz="4" w:space="0"/>
            </w:tcBorders>
            <w:shd w:val="clear" w:color="auto" w:fill="auto"/>
            <w:vAlign w:val="center"/>
          </w:tcPr>
          <w:p w14:paraId="6FB41A5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5300</w:t>
            </w:r>
          </w:p>
        </w:tc>
        <w:tc>
          <w:tcPr>
            <w:tcW w:w="0" w:type="auto"/>
            <w:tcBorders>
              <w:left w:val="single" w:color="auto" w:sz="4" w:space="0"/>
            </w:tcBorders>
            <w:shd w:val="clear" w:color="auto" w:fill="auto"/>
            <w:vAlign w:val="center"/>
          </w:tcPr>
          <w:p w14:paraId="3DE164D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w:t>
            </w:r>
          </w:p>
        </w:tc>
        <w:tc>
          <w:tcPr>
            <w:tcW w:w="1427" w:type="dxa"/>
            <w:vAlign w:val="center"/>
          </w:tcPr>
          <w:p w14:paraId="1FE35A8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545" w:type="dxa"/>
            <w:vAlign w:val="center"/>
          </w:tcPr>
          <w:p w14:paraId="1C518813">
            <w:pPr>
              <w:jc w:val="center"/>
              <w:rPr>
                <w:rFonts w:hint="eastAsia" w:ascii="宋体" w:hAnsi="宋体" w:eastAsia="宋体" w:cs="宋体"/>
                <w:sz w:val="24"/>
                <w:szCs w:val="24"/>
                <w:lang w:val="en-US" w:eastAsia="zh-CN"/>
              </w:rPr>
            </w:pPr>
          </w:p>
        </w:tc>
        <w:tc>
          <w:tcPr>
            <w:tcW w:w="1395" w:type="dxa"/>
            <w:vAlign w:val="center"/>
          </w:tcPr>
          <w:p w14:paraId="03D97B3A">
            <w:pPr>
              <w:jc w:val="center"/>
              <w:rPr>
                <w:rFonts w:hint="eastAsia" w:ascii="宋体" w:hAnsi="宋体" w:eastAsia="宋体" w:cs="宋体"/>
                <w:sz w:val="24"/>
                <w:szCs w:val="24"/>
                <w:lang w:val="en-US" w:eastAsia="zh-CN"/>
              </w:rPr>
            </w:pPr>
          </w:p>
        </w:tc>
        <w:tc>
          <w:tcPr>
            <w:tcW w:w="1106" w:type="dxa"/>
            <w:vAlign w:val="center"/>
          </w:tcPr>
          <w:p w14:paraId="44CDA0A9">
            <w:pPr>
              <w:jc w:val="center"/>
              <w:rPr>
                <w:rFonts w:hint="eastAsia" w:ascii="宋体" w:hAnsi="宋体" w:eastAsia="宋体" w:cs="宋体"/>
                <w:sz w:val="24"/>
                <w:szCs w:val="24"/>
                <w:lang w:val="en-US" w:eastAsia="zh-CN"/>
              </w:rPr>
            </w:pPr>
          </w:p>
        </w:tc>
      </w:tr>
      <w:tr w14:paraId="7A3B2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jc w:val="center"/>
        </w:trPr>
        <w:tc>
          <w:tcPr>
            <w:tcW w:w="0" w:type="auto"/>
            <w:vAlign w:val="center"/>
          </w:tcPr>
          <w:p w14:paraId="72BC341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0" w:type="auto"/>
            <w:shd w:val="clear" w:color="auto" w:fill="auto"/>
            <w:vAlign w:val="center"/>
          </w:tcPr>
          <w:p w14:paraId="34C327C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西区绿化（2025年9月27日到期）</w:t>
            </w:r>
          </w:p>
        </w:tc>
        <w:tc>
          <w:tcPr>
            <w:tcW w:w="0" w:type="auto"/>
            <w:tcBorders>
              <w:right w:val="single" w:color="auto" w:sz="4" w:space="0"/>
            </w:tcBorders>
            <w:shd w:val="clear" w:color="auto" w:fill="auto"/>
            <w:vAlign w:val="center"/>
          </w:tcPr>
          <w:p w14:paraId="1877DCD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13870</w:t>
            </w:r>
          </w:p>
        </w:tc>
        <w:tc>
          <w:tcPr>
            <w:tcW w:w="0" w:type="auto"/>
            <w:tcBorders>
              <w:left w:val="single" w:color="auto" w:sz="4" w:space="0"/>
            </w:tcBorders>
            <w:shd w:val="clear" w:color="auto" w:fill="auto"/>
            <w:vAlign w:val="center"/>
          </w:tcPr>
          <w:p w14:paraId="222679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w:t>
            </w:r>
          </w:p>
        </w:tc>
        <w:tc>
          <w:tcPr>
            <w:tcW w:w="1427" w:type="dxa"/>
            <w:vAlign w:val="center"/>
          </w:tcPr>
          <w:p w14:paraId="0F0416A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545" w:type="dxa"/>
            <w:vAlign w:val="center"/>
          </w:tcPr>
          <w:p w14:paraId="61E24CA1">
            <w:pPr>
              <w:jc w:val="center"/>
              <w:rPr>
                <w:rFonts w:hint="eastAsia" w:ascii="宋体" w:hAnsi="宋体" w:eastAsia="宋体" w:cs="宋体"/>
                <w:sz w:val="24"/>
                <w:szCs w:val="24"/>
                <w:lang w:val="en-US" w:eastAsia="zh-CN"/>
              </w:rPr>
            </w:pPr>
          </w:p>
        </w:tc>
        <w:tc>
          <w:tcPr>
            <w:tcW w:w="1395" w:type="dxa"/>
            <w:vAlign w:val="center"/>
          </w:tcPr>
          <w:p w14:paraId="104871B1">
            <w:pPr>
              <w:jc w:val="center"/>
              <w:rPr>
                <w:rFonts w:hint="eastAsia" w:ascii="宋体" w:hAnsi="宋体" w:eastAsia="宋体" w:cs="宋体"/>
                <w:sz w:val="24"/>
                <w:szCs w:val="24"/>
                <w:lang w:val="en-US" w:eastAsia="zh-CN"/>
              </w:rPr>
            </w:pPr>
          </w:p>
        </w:tc>
        <w:tc>
          <w:tcPr>
            <w:tcW w:w="1106" w:type="dxa"/>
            <w:vAlign w:val="center"/>
          </w:tcPr>
          <w:p w14:paraId="422BC157">
            <w:pPr>
              <w:jc w:val="center"/>
              <w:rPr>
                <w:rFonts w:hint="eastAsia" w:ascii="宋体" w:hAnsi="宋体" w:eastAsia="宋体" w:cs="宋体"/>
                <w:sz w:val="24"/>
                <w:szCs w:val="24"/>
                <w:lang w:val="en-US" w:eastAsia="zh-CN"/>
              </w:rPr>
            </w:pPr>
          </w:p>
        </w:tc>
      </w:tr>
      <w:tr w14:paraId="6D66BC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jc w:val="center"/>
        </w:trPr>
        <w:tc>
          <w:tcPr>
            <w:tcW w:w="0" w:type="auto"/>
            <w:vAlign w:val="center"/>
          </w:tcPr>
          <w:p w14:paraId="441DCF5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0" w:type="auto"/>
            <w:shd w:val="clear" w:color="auto" w:fill="auto"/>
            <w:vAlign w:val="center"/>
          </w:tcPr>
          <w:p w14:paraId="760F8F29">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西北角绿化</w:t>
            </w:r>
            <w:r>
              <w:rPr>
                <w:rFonts w:hint="eastAsia" w:ascii="宋体" w:hAnsi="宋体" w:eastAsia="宋体" w:cs="宋体"/>
                <w:sz w:val="24"/>
                <w:szCs w:val="24"/>
                <w:lang w:val="en-US" w:eastAsia="zh-CN"/>
              </w:rPr>
              <w:t>（2026年3月29日到期）</w:t>
            </w:r>
          </w:p>
        </w:tc>
        <w:tc>
          <w:tcPr>
            <w:tcW w:w="0" w:type="auto"/>
            <w:tcBorders>
              <w:right w:val="single" w:color="auto" w:sz="4" w:space="0"/>
            </w:tcBorders>
            <w:shd w:val="clear" w:color="auto" w:fill="auto"/>
            <w:vAlign w:val="center"/>
          </w:tcPr>
          <w:p w14:paraId="0756657E">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3200</w:t>
            </w:r>
          </w:p>
        </w:tc>
        <w:tc>
          <w:tcPr>
            <w:tcW w:w="0" w:type="auto"/>
            <w:tcBorders>
              <w:left w:val="single" w:color="auto" w:sz="4" w:space="0"/>
            </w:tcBorders>
            <w:shd w:val="clear" w:color="auto" w:fill="auto"/>
            <w:vAlign w:val="center"/>
          </w:tcPr>
          <w:p w14:paraId="43C7168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w:t>
            </w:r>
          </w:p>
        </w:tc>
        <w:tc>
          <w:tcPr>
            <w:tcW w:w="1427" w:type="dxa"/>
            <w:vAlign w:val="center"/>
          </w:tcPr>
          <w:p w14:paraId="48A6FF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545" w:type="dxa"/>
            <w:vAlign w:val="center"/>
          </w:tcPr>
          <w:p w14:paraId="5302E4F3">
            <w:pPr>
              <w:jc w:val="center"/>
              <w:rPr>
                <w:rFonts w:hint="eastAsia" w:ascii="宋体" w:hAnsi="宋体" w:eastAsia="宋体" w:cs="宋体"/>
                <w:sz w:val="24"/>
                <w:szCs w:val="24"/>
                <w:lang w:val="en-US" w:eastAsia="zh-CN"/>
              </w:rPr>
            </w:pPr>
          </w:p>
        </w:tc>
        <w:tc>
          <w:tcPr>
            <w:tcW w:w="1395" w:type="dxa"/>
            <w:vAlign w:val="center"/>
          </w:tcPr>
          <w:p w14:paraId="48250E91">
            <w:pPr>
              <w:jc w:val="center"/>
              <w:rPr>
                <w:rFonts w:hint="eastAsia" w:ascii="宋体" w:hAnsi="宋体" w:eastAsia="宋体" w:cs="宋体"/>
                <w:sz w:val="24"/>
                <w:szCs w:val="24"/>
                <w:lang w:val="en-US" w:eastAsia="zh-CN"/>
              </w:rPr>
            </w:pPr>
          </w:p>
        </w:tc>
        <w:tc>
          <w:tcPr>
            <w:tcW w:w="1106" w:type="dxa"/>
            <w:vAlign w:val="center"/>
          </w:tcPr>
          <w:p w14:paraId="73E189EC">
            <w:pPr>
              <w:jc w:val="center"/>
              <w:rPr>
                <w:rFonts w:hint="eastAsia" w:ascii="宋体" w:hAnsi="宋体" w:eastAsia="宋体" w:cs="宋体"/>
                <w:sz w:val="24"/>
                <w:szCs w:val="24"/>
                <w:lang w:val="en-US" w:eastAsia="zh-CN"/>
              </w:rPr>
            </w:pPr>
          </w:p>
        </w:tc>
      </w:tr>
      <w:tr w14:paraId="0524F7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jc w:val="center"/>
        </w:trPr>
        <w:tc>
          <w:tcPr>
            <w:tcW w:w="0" w:type="auto"/>
            <w:vAlign w:val="center"/>
          </w:tcPr>
          <w:p w14:paraId="2950FAAA">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0" w:type="auto"/>
            <w:shd w:val="clear" w:color="auto" w:fill="auto"/>
            <w:vAlign w:val="center"/>
          </w:tcPr>
          <w:p w14:paraId="0D37594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东区绿化</w:t>
            </w:r>
            <w:r>
              <w:rPr>
                <w:rFonts w:hint="eastAsia" w:ascii="宋体" w:hAnsi="宋体" w:eastAsia="宋体" w:cs="宋体"/>
                <w:sz w:val="24"/>
                <w:szCs w:val="24"/>
                <w:lang w:val="en-US" w:eastAsia="zh-CN"/>
              </w:rPr>
              <w:t>（2026年8月31日到期）</w:t>
            </w:r>
          </w:p>
        </w:tc>
        <w:tc>
          <w:tcPr>
            <w:tcW w:w="0" w:type="auto"/>
            <w:tcBorders>
              <w:right w:val="single" w:color="auto" w:sz="4" w:space="0"/>
            </w:tcBorders>
            <w:shd w:val="clear" w:color="auto" w:fill="auto"/>
            <w:vAlign w:val="center"/>
          </w:tcPr>
          <w:p w14:paraId="0294CF5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9500</w:t>
            </w:r>
          </w:p>
        </w:tc>
        <w:tc>
          <w:tcPr>
            <w:tcW w:w="0" w:type="auto"/>
            <w:tcBorders>
              <w:left w:val="single" w:color="auto" w:sz="4" w:space="0"/>
            </w:tcBorders>
            <w:shd w:val="clear" w:color="auto" w:fill="auto"/>
            <w:vAlign w:val="center"/>
          </w:tcPr>
          <w:p w14:paraId="336E14D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w:t>
            </w:r>
          </w:p>
        </w:tc>
        <w:tc>
          <w:tcPr>
            <w:tcW w:w="1427" w:type="dxa"/>
            <w:vAlign w:val="center"/>
          </w:tcPr>
          <w:p w14:paraId="45BEA34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2.5</w:t>
            </w:r>
          </w:p>
        </w:tc>
        <w:tc>
          <w:tcPr>
            <w:tcW w:w="1545" w:type="dxa"/>
            <w:vAlign w:val="center"/>
          </w:tcPr>
          <w:p w14:paraId="1CCE9741">
            <w:pPr>
              <w:jc w:val="center"/>
              <w:rPr>
                <w:rFonts w:hint="eastAsia" w:ascii="宋体" w:hAnsi="宋体" w:eastAsia="宋体" w:cs="宋体"/>
                <w:kern w:val="2"/>
                <w:sz w:val="24"/>
                <w:szCs w:val="24"/>
                <w:lang w:val="en-US" w:eastAsia="zh-CN" w:bidi="ar-SA"/>
              </w:rPr>
            </w:pPr>
          </w:p>
        </w:tc>
        <w:tc>
          <w:tcPr>
            <w:tcW w:w="1395" w:type="dxa"/>
            <w:vAlign w:val="center"/>
          </w:tcPr>
          <w:p w14:paraId="5E48DF2B">
            <w:pPr>
              <w:jc w:val="center"/>
              <w:rPr>
                <w:rFonts w:hint="eastAsia" w:ascii="宋体" w:hAnsi="宋体" w:eastAsia="宋体" w:cs="宋体"/>
                <w:kern w:val="2"/>
                <w:sz w:val="24"/>
                <w:szCs w:val="24"/>
                <w:lang w:val="en-US" w:eastAsia="zh-CN" w:bidi="ar-SA"/>
              </w:rPr>
            </w:pPr>
          </w:p>
        </w:tc>
        <w:tc>
          <w:tcPr>
            <w:tcW w:w="1106" w:type="dxa"/>
            <w:vAlign w:val="center"/>
          </w:tcPr>
          <w:p w14:paraId="30CED266">
            <w:pPr>
              <w:jc w:val="center"/>
              <w:rPr>
                <w:rFonts w:hint="eastAsia" w:ascii="宋体" w:hAnsi="宋体" w:eastAsia="宋体" w:cs="宋体"/>
                <w:kern w:val="2"/>
                <w:sz w:val="24"/>
                <w:szCs w:val="24"/>
                <w:lang w:val="en-US" w:eastAsia="zh-CN" w:bidi="ar-SA"/>
              </w:rPr>
            </w:pPr>
          </w:p>
        </w:tc>
      </w:tr>
      <w:tr w14:paraId="6D2EFE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jc w:val="center"/>
        </w:trPr>
        <w:tc>
          <w:tcPr>
            <w:tcW w:w="7798" w:type="dxa"/>
            <w:gridSpan w:val="6"/>
            <w:vAlign w:val="center"/>
          </w:tcPr>
          <w:p w14:paraId="3F21A696">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总合计（元/年）</w:t>
            </w:r>
          </w:p>
        </w:tc>
        <w:tc>
          <w:tcPr>
            <w:tcW w:w="1395" w:type="dxa"/>
            <w:vAlign w:val="center"/>
          </w:tcPr>
          <w:p w14:paraId="06AD3643">
            <w:pPr>
              <w:jc w:val="center"/>
              <w:rPr>
                <w:rFonts w:hint="eastAsia" w:ascii="宋体" w:hAnsi="宋体" w:eastAsia="宋体" w:cs="宋体"/>
                <w:kern w:val="2"/>
                <w:sz w:val="24"/>
                <w:szCs w:val="24"/>
                <w:lang w:val="en-US" w:eastAsia="zh-CN" w:bidi="ar-SA"/>
              </w:rPr>
            </w:pPr>
          </w:p>
        </w:tc>
        <w:tc>
          <w:tcPr>
            <w:tcW w:w="1106" w:type="dxa"/>
            <w:vAlign w:val="center"/>
          </w:tcPr>
          <w:p w14:paraId="75035126">
            <w:pPr>
              <w:jc w:val="center"/>
              <w:rPr>
                <w:rFonts w:hint="eastAsia" w:ascii="宋体" w:hAnsi="宋体" w:eastAsia="宋体" w:cs="宋体"/>
                <w:kern w:val="2"/>
                <w:sz w:val="24"/>
                <w:szCs w:val="24"/>
                <w:lang w:val="en-US" w:eastAsia="zh-CN" w:bidi="ar-SA"/>
              </w:rPr>
            </w:pPr>
          </w:p>
        </w:tc>
      </w:tr>
    </w:tbl>
    <w:p w14:paraId="500C8BB5">
      <w:pPr>
        <w:spacing w:line="360" w:lineRule="auto"/>
        <w:jc w:val="both"/>
        <w:outlineLvl w:val="0"/>
        <w:rPr>
          <w:rFonts w:hint="default" w:ascii="宋体" w:hAnsi="宋体" w:eastAsia="宋体" w:cs="宋体"/>
          <w:b/>
          <w:color w:val="0000FF"/>
          <w:sz w:val="28"/>
          <w:highlight w:val="none"/>
          <w:lang w:val="en-US" w:eastAsia="zh-CN"/>
        </w:rPr>
      </w:pPr>
      <w:r>
        <w:rPr>
          <w:rFonts w:hint="eastAsia" w:ascii="宋体" w:hAnsi="宋体" w:eastAsia="宋体" w:cs="宋体"/>
          <w:b/>
          <w:color w:val="0000FF"/>
          <w:sz w:val="28"/>
          <w:highlight w:val="none"/>
          <w:lang w:val="en-US" w:eastAsia="zh-CN"/>
        </w:rPr>
        <w:t>注：报价须精确到以天为单位，小数点后保留三位小数（四舍五入），后期结算按照实际养护面积*中标单价*养护天数据实结算。</w:t>
      </w:r>
    </w:p>
    <w:p w14:paraId="6F24AAD8">
      <w:pPr>
        <w:spacing w:line="360" w:lineRule="auto"/>
        <w:ind w:firstLine="4800" w:firstLineChars="2000"/>
        <w:rPr>
          <w:rFonts w:hint="eastAsia" w:ascii="宋体" w:hAnsi="宋体" w:eastAsia="宋体"/>
          <w:color w:val="auto"/>
          <w:sz w:val="24"/>
          <w:highlight w:val="none"/>
        </w:rPr>
      </w:pPr>
    </w:p>
    <w:p w14:paraId="65D3827F">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5AB597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63C01C8">
      <w:pPr>
        <w:spacing w:line="360" w:lineRule="auto"/>
        <w:jc w:val="center"/>
        <w:outlineLvl w:val="0"/>
        <w:rPr>
          <w:rFonts w:hint="eastAsia" w:ascii="宋体" w:hAnsi="宋体" w:eastAsia="宋体"/>
          <w:b/>
          <w:color w:val="auto"/>
          <w:sz w:val="28"/>
          <w:highlight w:val="none"/>
        </w:rPr>
      </w:pPr>
    </w:p>
    <w:p w14:paraId="6007B1B9">
      <w:pPr>
        <w:spacing w:line="360" w:lineRule="auto"/>
        <w:jc w:val="center"/>
        <w:outlineLvl w:val="0"/>
        <w:rPr>
          <w:rFonts w:hint="eastAsia" w:ascii="宋体" w:hAnsi="宋体" w:eastAsia="宋体" w:cs="宋体"/>
          <w:b/>
          <w:color w:val="auto"/>
          <w:sz w:val="28"/>
          <w:highlight w:val="none"/>
        </w:rPr>
      </w:pPr>
    </w:p>
    <w:p w14:paraId="5A2426DB">
      <w:pPr>
        <w:spacing w:line="360" w:lineRule="auto"/>
        <w:jc w:val="center"/>
        <w:outlineLvl w:val="0"/>
        <w:rPr>
          <w:rFonts w:hint="eastAsia" w:ascii="宋体" w:hAnsi="宋体" w:eastAsia="宋体" w:cs="宋体"/>
          <w:b/>
          <w:color w:val="auto"/>
          <w:sz w:val="28"/>
          <w:highlight w:val="none"/>
        </w:rPr>
      </w:pPr>
    </w:p>
    <w:p w14:paraId="6FCB6F45">
      <w:pPr>
        <w:spacing w:line="360" w:lineRule="auto"/>
        <w:jc w:val="center"/>
        <w:outlineLvl w:val="0"/>
        <w:rPr>
          <w:rFonts w:hint="eastAsia" w:ascii="宋体" w:hAnsi="宋体" w:eastAsia="宋体" w:cs="宋体"/>
          <w:b/>
          <w:color w:val="auto"/>
          <w:sz w:val="28"/>
          <w:highlight w:val="none"/>
        </w:rPr>
      </w:pPr>
    </w:p>
    <w:p w14:paraId="7A80BEBB">
      <w:pPr>
        <w:spacing w:line="360" w:lineRule="auto"/>
        <w:jc w:val="center"/>
        <w:outlineLvl w:val="0"/>
        <w:rPr>
          <w:rFonts w:hint="eastAsia" w:ascii="宋体" w:hAnsi="宋体" w:eastAsia="宋体" w:cs="宋体"/>
          <w:b/>
          <w:color w:val="auto"/>
          <w:sz w:val="28"/>
          <w:highlight w:val="none"/>
        </w:rPr>
      </w:pPr>
    </w:p>
    <w:p w14:paraId="4FA71897">
      <w:pPr>
        <w:spacing w:line="360" w:lineRule="auto"/>
        <w:jc w:val="center"/>
        <w:outlineLvl w:val="0"/>
        <w:rPr>
          <w:rFonts w:hint="eastAsia" w:ascii="宋体" w:hAnsi="宋体" w:eastAsia="宋体" w:cs="宋体"/>
          <w:b/>
          <w:color w:val="auto"/>
          <w:sz w:val="28"/>
          <w:highlight w:val="none"/>
        </w:rPr>
      </w:pPr>
    </w:p>
    <w:p w14:paraId="7B742639">
      <w:pPr>
        <w:spacing w:line="360" w:lineRule="auto"/>
        <w:jc w:val="center"/>
        <w:outlineLvl w:val="0"/>
        <w:rPr>
          <w:rFonts w:hint="eastAsia" w:ascii="宋体" w:hAnsi="宋体" w:eastAsia="宋体" w:cs="宋体"/>
          <w:b/>
          <w:color w:val="auto"/>
          <w:sz w:val="28"/>
          <w:highlight w:val="none"/>
        </w:rPr>
      </w:pPr>
    </w:p>
    <w:p w14:paraId="4F9507C2">
      <w:pPr>
        <w:spacing w:line="360" w:lineRule="auto"/>
        <w:jc w:val="center"/>
        <w:outlineLvl w:val="0"/>
        <w:rPr>
          <w:rFonts w:hint="eastAsia" w:ascii="宋体" w:hAnsi="宋体" w:eastAsia="宋体" w:cs="宋体"/>
          <w:b/>
          <w:color w:val="auto"/>
          <w:sz w:val="28"/>
          <w:highlight w:val="none"/>
        </w:rPr>
      </w:pPr>
    </w:p>
    <w:p w14:paraId="2EC84E19">
      <w:pPr>
        <w:spacing w:line="360" w:lineRule="auto"/>
        <w:jc w:val="center"/>
        <w:outlineLvl w:val="0"/>
        <w:rPr>
          <w:rFonts w:hint="eastAsia" w:ascii="宋体" w:hAnsi="宋体" w:eastAsia="宋体" w:cs="宋体"/>
          <w:b/>
          <w:color w:val="auto"/>
          <w:sz w:val="28"/>
          <w:highlight w:val="none"/>
        </w:rPr>
      </w:pPr>
    </w:p>
    <w:p w14:paraId="7DB43E04">
      <w:pPr>
        <w:spacing w:line="360" w:lineRule="auto"/>
        <w:jc w:val="center"/>
        <w:outlineLvl w:val="0"/>
        <w:rPr>
          <w:rFonts w:hint="eastAsia" w:ascii="宋体" w:hAnsi="宋体" w:eastAsia="宋体" w:cs="宋体"/>
          <w:b/>
          <w:color w:val="auto"/>
          <w:sz w:val="28"/>
          <w:highlight w:val="none"/>
        </w:rPr>
      </w:pPr>
    </w:p>
    <w:p w14:paraId="1AC4EB78">
      <w:pPr>
        <w:spacing w:line="360" w:lineRule="auto"/>
        <w:jc w:val="center"/>
        <w:outlineLvl w:val="0"/>
        <w:rPr>
          <w:rFonts w:hint="eastAsia" w:ascii="宋体" w:hAnsi="宋体" w:eastAsia="宋体" w:cs="宋体"/>
          <w:b/>
          <w:bCs/>
          <w:color w:val="auto"/>
          <w:sz w:val="28"/>
          <w:highlight w:val="none"/>
        </w:rPr>
      </w:pPr>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210"/>
      <w:bookmarkEnd w:id="211"/>
    </w:p>
    <w:p w14:paraId="1985D60A">
      <w:pPr>
        <w:spacing w:line="360" w:lineRule="auto"/>
        <w:jc w:val="center"/>
        <w:outlineLvl w:val="1"/>
        <w:rPr>
          <w:rFonts w:hint="eastAsia" w:ascii="宋体" w:hAnsi="宋体" w:eastAsia="宋体" w:cs="宋体"/>
          <w:b/>
          <w:bCs/>
          <w:color w:val="auto"/>
          <w:sz w:val="32"/>
          <w:szCs w:val="44"/>
          <w:highlight w:val="none"/>
        </w:rPr>
      </w:pPr>
      <w:bookmarkStart w:id="212" w:name="_Toc27159"/>
      <w:bookmarkStart w:id="213" w:name="_Toc6955"/>
      <w:r>
        <w:rPr>
          <w:rFonts w:hint="eastAsia" w:ascii="宋体" w:hAnsi="宋体" w:eastAsia="宋体" w:cs="宋体"/>
          <w:b/>
          <w:bCs/>
          <w:color w:val="auto"/>
          <w:sz w:val="32"/>
          <w:szCs w:val="44"/>
          <w:highlight w:val="none"/>
        </w:rPr>
        <w:t>询问函范本</w:t>
      </w:r>
      <w:bookmarkEnd w:id="212"/>
      <w:bookmarkEnd w:id="213"/>
    </w:p>
    <w:p w14:paraId="024273DB">
      <w:pPr>
        <w:adjustRightInd w:val="0"/>
        <w:snapToGrid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3FA0EF9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i/>
          <w:iCs/>
          <w:color w:val="auto"/>
          <w:sz w:val="24"/>
          <w:szCs w:val="24"/>
          <w:u w:val="none"/>
          <w:lang w:val="en-US" w:eastAsia="zh-CN"/>
        </w:rPr>
        <w:t>项目名称、编号</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509E3562">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214" w:name="_Toc13899"/>
      <w:r>
        <w:rPr>
          <w:rFonts w:hint="eastAsia" w:ascii="宋体" w:hAnsi="宋体" w:eastAsia="宋体" w:cs="宋体"/>
          <w:color w:val="auto"/>
          <w:sz w:val="24"/>
          <w:szCs w:val="24"/>
          <w:highlight w:val="none"/>
        </w:rPr>
        <w:t>一、(事项一)</w:t>
      </w:r>
      <w:bookmarkEnd w:id="214"/>
    </w:p>
    <w:p w14:paraId="22681E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2FD341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4AF387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29EF1531">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215" w:name="_Toc3352"/>
      <w:r>
        <w:rPr>
          <w:rFonts w:hint="eastAsia" w:ascii="宋体" w:hAnsi="宋体" w:eastAsia="宋体" w:cs="宋体"/>
          <w:color w:val="auto"/>
          <w:sz w:val="24"/>
          <w:szCs w:val="24"/>
          <w:highlight w:val="none"/>
        </w:rPr>
        <w:t>二、(事项二)</w:t>
      </w:r>
      <w:bookmarkEnd w:id="215"/>
    </w:p>
    <w:p w14:paraId="5476F5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069017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09DC7A6A">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5C3399B6">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16964535">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E7CF12B">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6AEEF3DE">
      <w:pPr>
        <w:jc w:val="center"/>
        <w:outlineLvl w:val="1"/>
        <w:rPr>
          <w:rFonts w:hint="eastAsia" w:ascii="宋体" w:hAnsi="宋体" w:eastAsia="宋体" w:cs="宋体"/>
          <w:b/>
          <w:bCs/>
          <w:color w:val="auto"/>
          <w:sz w:val="32"/>
          <w:szCs w:val="44"/>
          <w:highlight w:val="none"/>
        </w:rPr>
      </w:pPr>
      <w:bookmarkStart w:id="216" w:name="_Toc1575"/>
      <w:bookmarkStart w:id="217" w:name="_Toc857"/>
      <w:r>
        <w:rPr>
          <w:rFonts w:hint="eastAsia" w:ascii="宋体" w:hAnsi="宋体" w:eastAsia="宋体" w:cs="宋体"/>
          <w:b/>
          <w:bCs/>
          <w:color w:val="auto"/>
          <w:sz w:val="32"/>
          <w:szCs w:val="44"/>
          <w:highlight w:val="none"/>
        </w:rPr>
        <w:t>质疑函范本</w:t>
      </w:r>
      <w:bookmarkEnd w:id="216"/>
      <w:bookmarkEnd w:id="217"/>
    </w:p>
    <w:p w14:paraId="7FD5759D">
      <w:pPr>
        <w:adjustRightInd w:val="0"/>
        <w:snapToGrid w:val="0"/>
        <w:spacing w:before="312" w:beforeLines="100" w:line="360" w:lineRule="auto"/>
        <w:outlineLvl w:val="9"/>
        <w:rPr>
          <w:rFonts w:hint="eastAsia" w:ascii="宋体" w:hAnsi="宋体" w:eastAsia="宋体" w:cs="宋体"/>
          <w:b/>
          <w:bCs/>
          <w:color w:val="auto"/>
          <w:sz w:val="24"/>
          <w:szCs w:val="24"/>
          <w:highlight w:val="none"/>
        </w:rPr>
      </w:pPr>
      <w:bookmarkStart w:id="218" w:name="_Toc21381"/>
      <w:r>
        <w:rPr>
          <w:rFonts w:hint="eastAsia" w:ascii="宋体" w:hAnsi="宋体" w:eastAsia="宋体" w:cs="宋体"/>
          <w:b/>
          <w:bCs/>
          <w:color w:val="auto"/>
          <w:sz w:val="24"/>
          <w:szCs w:val="24"/>
          <w:highlight w:val="none"/>
        </w:rPr>
        <w:t>一、质疑供应商基本信息</w:t>
      </w:r>
      <w:bookmarkEnd w:id="218"/>
    </w:p>
    <w:p w14:paraId="18BC2CF2">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5BD7682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76D0BA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0E2616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789175B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5AAAF0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F4AD554">
      <w:pPr>
        <w:adjustRightInd w:val="0"/>
        <w:snapToGrid w:val="0"/>
        <w:spacing w:line="360" w:lineRule="auto"/>
        <w:outlineLvl w:val="9"/>
        <w:rPr>
          <w:rFonts w:hint="eastAsia" w:ascii="宋体" w:hAnsi="宋体" w:eastAsia="宋体" w:cs="宋体"/>
          <w:b/>
          <w:bCs/>
          <w:color w:val="auto"/>
          <w:sz w:val="24"/>
          <w:szCs w:val="24"/>
          <w:highlight w:val="none"/>
        </w:rPr>
      </w:pPr>
      <w:bookmarkStart w:id="219" w:name="_Toc28415"/>
      <w:r>
        <w:rPr>
          <w:rFonts w:hint="eastAsia" w:ascii="宋体" w:hAnsi="宋体" w:eastAsia="宋体" w:cs="宋体"/>
          <w:b/>
          <w:bCs/>
          <w:color w:val="auto"/>
          <w:sz w:val="24"/>
          <w:szCs w:val="24"/>
          <w:highlight w:val="none"/>
        </w:rPr>
        <w:t>二、质疑项目基本情况</w:t>
      </w:r>
      <w:bookmarkEnd w:id="219"/>
    </w:p>
    <w:p w14:paraId="56BA31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588F6B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448B19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9A59B3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28EF19DF">
      <w:pPr>
        <w:adjustRightInd w:val="0"/>
        <w:snapToGrid w:val="0"/>
        <w:spacing w:line="360" w:lineRule="auto"/>
        <w:outlineLvl w:val="9"/>
        <w:rPr>
          <w:rFonts w:hint="eastAsia" w:ascii="宋体" w:hAnsi="宋体" w:eastAsia="宋体" w:cs="宋体"/>
          <w:b/>
          <w:bCs/>
          <w:color w:val="auto"/>
          <w:sz w:val="24"/>
          <w:szCs w:val="24"/>
          <w:highlight w:val="none"/>
        </w:rPr>
      </w:pPr>
      <w:bookmarkStart w:id="220" w:name="_Toc19014"/>
      <w:r>
        <w:rPr>
          <w:rFonts w:hint="eastAsia" w:ascii="宋体" w:hAnsi="宋体" w:eastAsia="宋体" w:cs="宋体"/>
          <w:b/>
          <w:bCs/>
          <w:color w:val="auto"/>
          <w:sz w:val="24"/>
          <w:szCs w:val="24"/>
          <w:highlight w:val="none"/>
        </w:rPr>
        <w:t>三、质疑事项具体内容</w:t>
      </w:r>
      <w:bookmarkEnd w:id="220"/>
    </w:p>
    <w:p w14:paraId="0738833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14AB08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5EE65DF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78264DA8">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B0F55C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376DD28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C423AF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B3751BE">
      <w:pPr>
        <w:adjustRightInd w:val="0"/>
        <w:snapToGrid w:val="0"/>
        <w:spacing w:line="360" w:lineRule="auto"/>
        <w:outlineLvl w:val="9"/>
        <w:rPr>
          <w:rFonts w:hint="eastAsia" w:ascii="宋体" w:hAnsi="宋体" w:eastAsia="宋体" w:cs="宋体"/>
          <w:b/>
          <w:bCs/>
          <w:color w:val="auto"/>
          <w:sz w:val="24"/>
          <w:szCs w:val="24"/>
          <w:highlight w:val="none"/>
        </w:rPr>
      </w:pPr>
      <w:bookmarkStart w:id="221" w:name="_Toc17919"/>
      <w:r>
        <w:rPr>
          <w:rFonts w:hint="eastAsia" w:ascii="宋体" w:hAnsi="宋体" w:eastAsia="宋体" w:cs="宋体"/>
          <w:b/>
          <w:bCs/>
          <w:color w:val="auto"/>
          <w:sz w:val="24"/>
          <w:szCs w:val="24"/>
          <w:highlight w:val="none"/>
        </w:rPr>
        <w:t>四、与质疑事项相关的质疑请求</w:t>
      </w:r>
      <w:bookmarkEnd w:id="221"/>
    </w:p>
    <w:p w14:paraId="3970832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FF8A1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0C621B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CAB04EA">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767AA1F7">
      <w:pPr>
        <w:outlineLvl w:val="0"/>
        <w:rPr>
          <w:rFonts w:hint="eastAsia" w:ascii="宋体" w:hAnsi="宋体" w:eastAsia="宋体" w:cs="宋体"/>
          <w:b/>
          <w:color w:val="auto"/>
          <w:sz w:val="28"/>
          <w:szCs w:val="32"/>
          <w:highlight w:val="none"/>
        </w:rPr>
      </w:pPr>
      <w:bookmarkStart w:id="222" w:name="_Toc22239"/>
      <w:bookmarkStart w:id="223" w:name="_Toc9754"/>
      <w:r>
        <w:rPr>
          <w:rFonts w:hint="eastAsia" w:ascii="宋体" w:hAnsi="宋体" w:eastAsia="宋体" w:cs="宋体"/>
          <w:b/>
          <w:color w:val="auto"/>
          <w:sz w:val="28"/>
          <w:szCs w:val="32"/>
          <w:highlight w:val="none"/>
        </w:rPr>
        <w:t>质疑函制作说明：</w:t>
      </w:r>
      <w:bookmarkEnd w:id="222"/>
      <w:bookmarkEnd w:id="223"/>
    </w:p>
    <w:p w14:paraId="3761541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5144C12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6422E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D4526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C79423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EA491B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4E51">
    <w:pPr>
      <w:pStyle w:val="15"/>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A2BFE">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6A2BFE">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CBC1">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DE45C">
                          <w:pPr>
                            <w:pStyle w:val="15"/>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4DE45C">
                    <w:pPr>
                      <w:pStyle w:val="15"/>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E28B">
    <w:pPr>
      <w:pStyle w:val="16"/>
      <w:jc w:val="left"/>
      <w:rPr>
        <w:rFonts w:hint="eastAsia" w:asciiTheme="minorEastAsia" w:hAnsiTheme="minorEastAsia" w:eastAsiaTheme="minorEastAsia"/>
        <w:lang w:val="en-US" w:eastAsia="zh-CN"/>
      </w:rPr>
    </w:pPr>
  </w:p>
  <w:p w14:paraId="44D0A477">
    <w:pPr>
      <w:pStyle w:val="16"/>
      <w:jc w:val="left"/>
      <w:rPr>
        <w:rFonts w:hint="eastAsia" w:asciiTheme="minorEastAsia" w:hAnsiTheme="minorEastAsia" w:eastAsiaTheme="minorEastAsia"/>
        <w:lang w:val="en-US" w:eastAsia="zh-CN"/>
      </w:rPr>
    </w:pPr>
  </w:p>
  <w:p w14:paraId="636F2F59">
    <w:pPr>
      <w:pStyle w:val="16"/>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服务类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D0FE">
    <w:pPr>
      <w:pStyle w:val="16"/>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64A37"/>
    <w:multiLevelType w:val="singleLevel"/>
    <w:tmpl w:val="2A064A37"/>
    <w:lvl w:ilvl="0" w:tentative="0">
      <w:start w:val="3"/>
      <w:numFmt w:val="chineseCounting"/>
      <w:suff w:val="space"/>
      <w:lvlText w:val="第%1章"/>
      <w:lvlJc w:val="left"/>
      <w:rPr>
        <w:rFonts w:hint="eastAsia"/>
      </w:rPr>
    </w:lvl>
  </w:abstractNum>
  <w:abstractNum w:abstractNumId="1">
    <w:nsid w:val="56220685"/>
    <w:multiLevelType w:val="singleLevel"/>
    <w:tmpl w:val="5622068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172A27"/>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0C6A"/>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1658"/>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443F"/>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1EDB"/>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4C6B51"/>
    <w:rsid w:val="01864CFA"/>
    <w:rsid w:val="019273B6"/>
    <w:rsid w:val="02056D00"/>
    <w:rsid w:val="0214602E"/>
    <w:rsid w:val="0236335D"/>
    <w:rsid w:val="02B96008"/>
    <w:rsid w:val="03486B27"/>
    <w:rsid w:val="03F731B5"/>
    <w:rsid w:val="040A094E"/>
    <w:rsid w:val="0414297A"/>
    <w:rsid w:val="04E36C96"/>
    <w:rsid w:val="056800F4"/>
    <w:rsid w:val="056A1C9B"/>
    <w:rsid w:val="056F201D"/>
    <w:rsid w:val="05810D93"/>
    <w:rsid w:val="05B664D4"/>
    <w:rsid w:val="05D13AC9"/>
    <w:rsid w:val="06020126"/>
    <w:rsid w:val="0616772D"/>
    <w:rsid w:val="06F07F7E"/>
    <w:rsid w:val="06FE6B3F"/>
    <w:rsid w:val="07076C01"/>
    <w:rsid w:val="071C12AC"/>
    <w:rsid w:val="073A744C"/>
    <w:rsid w:val="074E231E"/>
    <w:rsid w:val="076444C8"/>
    <w:rsid w:val="07A934B3"/>
    <w:rsid w:val="07CD02C0"/>
    <w:rsid w:val="0808579C"/>
    <w:rsid w:val="0834033F"/>
    <w:rsid w:val="08422A5C"/>
    <w:rsid w:val="08536A17"/>
    <w:rsid w:val="08B15E54"/>
    <w:rsid w:val="08B84ACC"/>
    <w:rsid w:val="08F9600B"/>
    <w:rsid w:val="09174BA0"/>
    <w:rsid w:val="09300B06"/>
    <w:rsid w:val="0980799C"/>
    <w:rsid w:val="0A0C1573"/>
    <w:rsid w:val="0A0F6376"/>
    <w:rsid w:val="0A353CEA"/>
    <w:rsid w:val="0A6A18DB"/>
    <w:rsid w:val="0A7D421F"/>
    <w:rsid w:val="0A9D666F"/>
    <w:rsid w:val="0ADC1CBC"/>
    <w:rsid w:val="0AEF3828"/>
    <w:rsid w:val="0B375954"/>
    <w:rsid w:val="0B426708"/>
    <w:rsid w:val="0B48482D"/>
    <w:rsid w:val="0BBB665B"/>
    <w:rsid w:val="0C1B3CF0"/>
    <w:rsid w:val="0C205744"/>
    <w:rsid w:val="0C3C77C2"/>
    <w:rsid w:val="0C8A49D1"/>
    <w:rsid w:val="0CA152BE"/>
    <w:rsid w:val="0CA64D1B"/>
    <w:rsid w:val="0CB7664E"/>
    <w:rsid w:val="0CE642FD"/>
    <w:rsid w:val="0D2B5882"/>
    <w:rsid w:val="0D83559F"/>
    <w:rsid w:val="0DD73C46"/>
    <w:rsid w:val="0E0662D9"/>
    <w:rsid w:val="0E213113"/>
    <w:rsid w:val="0E337B00"/>
    <w:rsid w:val="0E4C07DD"/>
    <w:rsid w:val="0E5B6625"/>
    <w:rsid w:val="0E653000"/>
    <w:rsid w:val="0E816EC5"/>
    <w:rsid w:val="0EDF7256"/>
    <w:rsid w:val="0EEA6FC1"/>
    <w:rsid w:val="0F362BEE"/>
    <w:rsid w:val="0F954485"/>
    <w:rsid w:val="0FBF344F"/>
    <w:rsid w:val="0FE75496"/>
    <w:rsid w:val="1010343F"/>
    <w:rsid w:val="102173FB"/>
    <w:rsid w:val="10505F32"/>
    <w:rsid w:val="10545A22"/>
    <w:rsid w:val="105A27E6"/>
    <w:rsid w:val="107B3BB5"/>
    <w:rsid w:val="10D77E16"/>
    <w:rsid w:val="1132283D"/>
    <w:rsid w:val="1182211B"/>
    <w:rsid w:val="11823EC9"/>
    <w:rsid w:val="119B0711"/>
    <w:rsid w:val="11E903EC"/>
    <w:rsid w:val="12197477"/>
    <w:rsid w:val="124A0D49"/>
    <w:rsid w:val="12CF1390"/>
    <w:rsid w:val="13174AE5"/>
    <w:rsid w:val="13587E2C"/>
    <w:rsid w:val="13C20EF5"/>
    <w:rsid w:val="1466407E"/>
    <w:rsid w:val="146A097B"/>
    <w:rsid w:val="147D3DF9"/>
    <w:rsid w:val="14834E28"/>
    <w:rsid w:val="148E7D65"/>
    <w:rsid w:val="14D507B4"/>
    <w:rsid w:val="151D4243"/>
    <w:rsid w:val="15231BF9"/>
    <w:rsid w:val="154D47EE"/>
    <w:rsid w:val="155913E5"/>
    <w:rsid w:val="157F1A21"/>
    <w:rsid w:val="15C34AB0"/>
    <w:rsid w:val="15DF7A9E"/>
    <w:rsid w:val="15EA64E1"/>
    <w:rsid w:val="160B0931"/>
    <w:rsid w:val="166E4A7F"/>
    <w:rsid w:val="167103B5"/>
    <w:rsid w:val="1672275E"/>
    <w:rsid w:val="179F5278"/>
    <w:rsid w:val="17A0779F"/>
    <w:rsid w:val="17B610D0"/>
    <w:rsid w:val="180C273E"/>
    <w:rsid w:val="186B3909"/>
    <w:rsid w:val="18BE140D"/>
    <w:rsid w:val="18F25DD8"/>
    <w:rsid w:val="1914553B"/>
    <w:rsid w:val="1966589B"/>
    <w:rsid w:val="1A3B68AA"/>
    <w:rsid w:val="1A3E1C1E"/>
    <w:rsid w:val="1A7A6085"/>
    <w:rsid w:val="1AC27A2C"/>
    <w:rsid w:val="1AD81C5D"/>
    <w:rsid w:val="1B0C4116"/>
    <w:rsid w:val="1B410951"/>
    <w:rsid w:val="1BB3482F"/>
    <w:rsid w:val="1BC33A5C"/>
    <w:rsid w:val="1BD712B5"/>
    <w:rsid w:val="1BEB4C38"/>
    <w:rsid w:val="1C141836"/>
    <w:rsid w:val="1C202C5C"/>
    <w:rsid w:val="1CB6711D"/>
    <w:rsid w:val="1D412E8A"/>
    <w:rsid w:val="1D4F6C64"/>
    <w:rsid w:val="1D7274E7"/>
    <w:rsid w:val="1D8360C2"/>
    <w:rsid w:val="1E6B6A14"/>
    <w:rsid w:val="1EB531D0"/>
    <w:rsid w:val="1EDF295B"/>
    <w:rsid w:val="1EF503D0"/>
    <w:rsid w:val="1F1C595D"/>
    <w:rsid w:val="1F43738D"/>
    <w:rsid w:val="1F79469A"/>
    <w:rsid w:val="20300A4D"/>
    <w:rsid w:val="20550D9A"/>
    <w:rsid w:val="20B60611"/>
    <w:rsid w:val="20E92284"/>
    <w:rsid w:val="213760C2"/>
    <w:rsid w:val="216B6728"/>
    <w:rsid w:val="21714B53"/>
    <w:rsid w:val="218E2416"/>
    <w:rsid w:val="21D00C81"/>
    <w:rsid w:val="226915FE"/>
    <w:rsid w:val="22770BDB"/>
    <w:rsid w:val="22880ECA"/>
    <w:rsid w:val="228D1C60"/>
    <w:rsid w:val="2298179E"/>
    <w:rsid w:val="22C500B9"/>
    <w:rsid w:val="22CF0F38"/>
    <w:rsid w:val="22E14C32"/>
    <w:rsid w:val="22FD3CF7"/>
    <w:rsid w:val="238E494F"/>
    <w:rsid w:val="239C59CF"/>
    <w:rsid w:val="23D700A4"/>
    <w:rsid w:val="23E12CD1"/>
    <w:rsid w:val="23E629DD"/>
    <w:rsid w:val="246062EC"/>
    <w:rsid w:val="24B97929"/>
    <w:rsid w:val="24C71835"/>
    <w:rsid w:val="24DA3CE4"/>
    <w:rsid w:val="25027743"/>
    <w:rsid w:val="25184E18"/>
    <w:rsid w:val="2520252D"/>
    <w:rsid w:val="25C64CB0"/>
    <w:rsid w:val="26163BC1"/>
    <w:rsid w:val="26DD14A4"/>
    <w:rsid w:val="27714AEB"/>
    <w:rsid w:val="27817875"/>
    <w:rsid w:val="27B30E28"/>
    <w:rsid w:val="285F40CA"/>
    <w:rsid w:val="286337C0"/>
    <w:rsid w:val="28C01ECB"/>
    <w:rsid w:val="28EC3ECC"/>
    <w:rsid w:val="28FE60D3"/>
    <w:rsid w:val="294F4B81"/>
    <w:rsid w:val="297E0FC2"/>
    <w:rsid w:val="29BF71E3"/>
    <w:rsid w:val="29D357B2"/>
    <w:rsid w:val="29F23E8A"/>
    <w:rsid w:val="2A0D0CC4"/>
    <w:rsid w:val="2A127B63"/>
    <w:rsid w:val="2A6428AE"/>
    <w:rsid w:val="2A7C0AFC"/>
    <w:rsid w:val="2A8C3B66"/>
    <w:rsid w:val="2AA809EC"/>
    <w:rsid w:val="2AAA4765"/>
    <w:rsid w:val="2AC21606"/>
    <w:rsid w:val="2ACD7048"/>
    <w:rsid w:val="2AF63C5E"/>
    <w:rsid w:val="2B0A3B1E"/>
    <w:rsid w:val="2B12230A"/>
    <w:rsid w:val="2B7E7608"/>
    <w:rsid w:val="2B7F04E9"/>
    <w:rsid w:val="2C096802"/>
    <w:rsid w:val="2C22657D"/>
    <w:rsid w:val="2C305555"/>
    <w:rsid w:val="2C70553A"/>
    <w:rsid w:val="2C8A5A6A"/>
    <w:rsid w:val="2C9A21B9"/>
    <w:rsid w:val="2CAD23A4"/>
    <w:rsid w:val="2CB35427"/>
    <w:rsid w:val="2CE20523"/>
    <w:rsid w:val="2D1660E1"/>
    <w:rsid w:val="2D1C7470"/>
    <w:rsid w:val="2D485B6F"/>
    <w:rsid w:val="2D496D68"/>
    <w:rsid w:val="2DEA131C"/>
    <w:rsid w:val="2E6672CB"/>
    <w:rsid w:val="2E7A48DE"/>
    <w:rsid w:val="2E84707B"/>
    <w:rsid w:val="2EDC3ED8"/>
    <w:rsid w:val="2F120B2A"/>
    <w:rsid w:val="2F2D046C"/>
    <w:rsid w:val="2F6351B4"/>
    <w:rsid w:val="2FCF199E"/>
    <w:rsid w:val="300A7A53"/>
    <w:rsid w:val="301306B6"/>
    <w:rsid w:val="30483E83"/>
    <w:rsid w:val="30AA0E97"/>
    <w:rsid w:val="30E262DA"/>
    <w:rsid w:val="313C59EB"/>
    <w:rsid w:val="3144441E"/>
    <w:rsid w:val="314B0324"/>
    <w:rsid w:val="31512E23"/>
    <w:rsid w:val="31D73965"/>
    <w:rsid w:val="32116E77"/>
    <w:rsid w:val="326C67A3"/>
    <w:rsid w:val="32B10789"/>
    <w:rsid w:val="334E4CD8"/>
    <w:rsid w:val="33D77818"/>
    <w:rsid w:val="342D3D10"/>
    <w:rsid w:val="343C0775"/>
    <w:rsid w:val="349B6ECC"/>
    <w:rsid w:val="34AA76A9"/>
    <w:rsid w:val="34AF4725"/>
    <w:rsid w:val="34B00BC9"/>
    <w:rsid w:val="35225F43"/>
    <w:rsid w:val="356C50EC"/>
    <w:rsid w:val="361108CD"/>
    <w:rsid w:val="369167D9"/>
    <w:rsid w:val="36B64491"/>
    <w:rsid w:val="3700166C"/>
    <w:rsid w:val="371116C7"/>
    <w:rsid w:val="371C1DDA"/>
    <w:rsid w:val="3727617F"/>
    <w:rsid w:val="375969FE"/>
    <w:rsid w:val="377A54BF"/>
    <w:rsid w:val="38694EE9"/>
    <w:rsid w:val="38C06F01"/>
    <w:rsid w:val="38C509BB"/>
    <w:rsid w:val="393022D9"/>
    <w:rsid w:val="39BA4298"/>
    <w:rsid w:val="39BD78E5"/>
    <w:rsid w:val="39CE1AF2"/>
    <w:rsid w:val="39FA28E7"/>
    <w:rsid w:val="3A887EF3"/>
    <w:rsid w:val="3ABA038B"/>
    <w:rsid w:val="3B2F019D"/>
    <w:rsid w:val="3B365CC9"/>
    <w:rsid w:val="3B521418"/>
    <w:rsid w:val="3B854432"/>
    <w:rsid w:val="3B9A7B88"/>
    <w:rsid w:val="3BC114FF"/>
    <w:rsid w:val="3C2660C6"/>
    <w:rsid w:val="3C6978B0"/>
    <w:rsid w:val="3D2C7AC8"/>
    <w:rsid w:val="3D37175C"/>
    <w:rsid w:val="3D673DEF"/>
    <w:rsid w:val="3D855D12"/>
    <w:rsid w:val="3D8B42FF"/>
    <w:rsid w:val="3D8C02DD"/>
    <w:rsid w:val="3DAC5CA6"/>
    <w:rsid w:val="3DC20089"/>
    <w:rsid w:val="3DD27E02"/>
    <w:rsid w:val="3DF36A6E"/>
    <w:rsid w:val="3E1321C9"/>
    <w:rsid w:val="3E324EE5"/>
    <w:rsid w:val="3E8B1D5F"/>
    <w:rsid w:val="3E9E5F37"/>
    <w:rsid w:val="3F1138E1"/>
    <w:rsid w:val="3F777F37"/>
    <w:rsid w:val="3F792F1E"/>
    <w:rsid w:val="3F84512C"/>
    <w:rsid w:val="3FC94699"/>
    <w:rsid w:val="404C2B02"/>
    <w:rsid w:val="405D597D"/>
    <w:rsid w:val="407231D7"/>
    <w:rsid w:val="40754A75"/>
    <w:rsid w:val="407C2246"/>
    <w:rsid w:val="40824826"/>
    <w:rsid w:val="40B56AEC"/>
    <w:rsid w:val="40E23A1F"/>
    <w:rsid w:val="40E63923"/>
    <w:rsid w:val="40EE1BD8"/>
    <w:rsid w:val="40FA4F7A"/>
    <w:rsid w:val="41151DB4"/>
    <w:rsid w:val="41964FF9"/>
    <w:rsid w:val="41B63597"/>
    <w:rsid w:val="41CF6407"/>
    <w:rsid w:val="41D34149"/>
    <w:rsid w:val="42073DF3"/>
    <w:rsid w:val="42B443F4"/>
    <w:rsid w:val="42D610B6"/>
    <w:rsid w:val="42F43FD4"/>
    <w:rsid w:val="437234EE"/>
    <w:rsid w:val="43943464"/>
    <w:rsid w:val="43A91E5B"/>
    <w:rsid w:val="43B34232"/>
    <w:rsid w:val="43B92ECB"/>
    <w:rsid w:val="44050ECF"/>
    <w:rsid w:val="44760DBC"/>
    <w:rsid w:val="44BC3308"/>
    <w:rsid w:val="44DF2AD6"/>
    <w:rsid w:val="456357E4"/>
    <w:rsid w:val="45847B00"/>
    <w:rsid w:val="45BA48DB"/>
    <w:rsid w:val="45C36283"/>
    <w:rsid w:val="46020B59"/>
    <w:rsid w:val="46080139"/>
    <w:rsid w:val="461D1E37"/>
    <w:rsid w:val="463A3650"/>
    <w:rsid w:val="469F0116"/>
    <w:rsid w:val="46B67B95"/>
    <w:rsid w:val="46B8390E"/>
    <w:rsid w:val="475259B7"/>
    <w:rsid w:val="47764260"/>
    <w:rsid w:val="47CF1229"/>
    <w:rsid w:val="48425B85"/>
    <w:rsid w:val="48575A24"/>
    <w:rsid w:val="487274B4"/>
    <w:rsid w:val="48831CF9"/>
    <w:rsid w:val="488436EE"/>
    <w:rsid w:val="488B0DB2"/>
    <w:rsid w:val="489108BA"/>
    <w:rsid w:val="48943F06"/>
    <w:rsid w:val="496D6C31"/>
    <w:rsid w:val="497C6E74"/>
    <w:rsid w:val="499E328F"/>
    <w:rsid w:val="49A165B8"/>
    <w:rsid w:val="49B1408D"/>
    <w:rsid w:val="4A7D4FD2"/>
    <w:rsid w:val="4A913C9A"/>
    <w:rsid w:val="4AE22D2F"/>
    <w:rsid w:val="4AEE45D4"/>
    <w:rsid w:val="4B0610EB"/>
    <w:rsid w:val="4B0E7FA0"/>
    <w:rsid w:val="4B1F70AC"/>
    <w:rsid w:val="4B240F94"/>
    <w:rsid w:val="4B386AE5"/>
    <w:rsid w:val="4B895879"/>
    <w:rsid w:val="4BA75287"/>
    <w:rsid w:val="4BED70D6"/>
    <w:rsid w:val="4BF61160"/>
    <w:rsid w:val="4C3C565C"/>
    <w:rsid w:val="4C675BBA"/>
    <w:rsid w:val="4CCC79C7"/>
    <w:rsid w:val="4CE94821"/>
    <w:rsid w:val="4D7555C7"/>
    <w:rsid w:val="4D7B7443"/>
    <w:rsid w:val="4E1E674C"/>
    <w:rsid w:val="4E5C7274"/>
    <w:rsid w:val="4E7B3B9E"/>
    <w:rsid w:val="4E8C1667"/>
    <w:rsid w:val="4EA44F42"/>
    <w:rsid w:val="4EAE6DA0"/>
    <w:rsid w:val="4EDE07C7"/>
    <w:rsid w:val="4F1B2C8C"/>
    <w:rsid w:val="4F9460C4"/>
    <w:rsid w:val="4FD037EF"/>
    <w:rsid w:val="5016514B"/>
    <w:rsid w:val="501C6CBB"/>
    <w:rsid w:val="502857C7"/>
    <w:rsid w:val="50476D3D"/>
    <w:rsid w:val="5124051D"/>
    <w:rsid w:val="513918A9"/>
    <w:rsid w:val="517843C5"/>
    <w:rsid w:val="51CB1C78"/>
    <w:rsid w:val="51D6733E"/>
    <w:rsid w:val="51DB42C9"/>
    <w:rsid w:val="51FD6A51"/>
    <w:rsid w:val="524424F9"/>
    <w:rsid w:val="524D13AE"/>
    <w:rsid w:val="526B680A"/>
    <w:rsid w:val="53150D15"/>
    <w:rsid w:val="534A7FE3"/>
    <w:rsid w:val="5352083E"/>
    <w:rsid w:val="53C22E18"/>
    <w:rsid w:val="53C412A4"/>
    <w:rsid w:val="53CB7839"/>
    <w:rsid w:val="53DA4EC3"/>
    <w:rsid w:val="541A5D30"/>
    <w:rsid w:val="546D40DC"/>
    <w:rsid w:val="553E632F"/>
    <w:rsid w:val="558A2919"/>
    <w:rsid w:val="55A0213D"/>
    <w:rsid w:val="55E276DA"/>
    <w:rsid w:val="55F068CD"/>
    <w:rsid w:val="566C3136"/>
    <w:rsid w:val="568D04F2"/>
    <w:rsid w:val="569C6DA8"/>
    <w:rsid w:val="56BC6B02"/>
    <w:rsid w:val="56F51D94"/>
    <w:rsid w:val="57452F9B"/>
    <w:rsid w:val="575D6537"/>
    <w:rsid w:val="57A77235"/>
    <w:rsid w:val="57E672BB"/>
    <w:rsid w:val="58535244"/>
    <w:rsid w:val="58845D45"/>
    <w:rsid w:val="588D6DD7"/>
    <w:rsid w:val="591C5F7E"/>
    <w:rsid w:val="592A069B"/>
    <w:rsid w:val="59554FEC"/>
    <w:rsid w:val="59725B9E"/>
    <w:rsid w:val="597429C5"/>
    <w:rsid w:val="5980475F"/>
    <w:rsid w:val="59AA17DC"/>
    <w:rsid w:val="59DA0CAB"/>
    <w:rsid w:val="59F130A5"/>
    <w:rsid w:val="5A343208"/>
    <w:rsid w:val="5A511C57"/>
    <w:rsid w:val="5A526582"/>
    <w:rsid w:val="5A5F5C77"/>
    <w:rsid w:val="5A843DDB"/>
    <w:rsid w:val="5AE26D53"/>
    <w:rsid w:val="5B33135D"/>
    <w:rsid w:val="5BBE39CD"/>
    <w:rsid w:val="5BC11A60"/>
    <w:rsid w:val="5C7A4D54"/>
    <w:rsid w:val="5CD23B73"/>
    <w:rsid w:val="5CD5091E"/>
    <w:rsid w:val="5CDF354A"/>
    <w:rsid w:val="5D924A61"/>
    <w:rsid w:val="5DAF116F"/>
    <w:rsid w:val="5E1216FE"/>
    <w:rsid w:val="5E987E55"/>
    <w:rsid w:val="5F127819"/>
    <w:rsid w:val="5F3758C0"/>
    <w:rsid w:val="5F63752A"/>
    <w:rsid w:val="5F9940D7"/>
    <w:rsid w:val="60340051"/>
    <w:rsid w:val="604A1623"/>
    <w:rsid w:val="605204D7"/>
    <w:rsid w:val="609D1752"/>
    <w:rsid w:val="60EE1FAE"/>
    <w:rsid w:val="60F1503F"/>
    <w:rsid w:val="61025188"/>
    <w:rsid w:val="61057D5F"/>
    <w:rsid w:val="614D4977"/>
    <w:rsid w:val="61736957"/>
    <w:rsid w:val="61811D3C"/>
    <w:rsid w:val="61B96A60"/>
    <w:rsid w:val="61BE5E24"/>
    <w:rsid w:val="61E15FB7"/>
    <w:rsid w:val="62C31A1B"/>
    <w:rsid w:val="62E06CFA"/>
    <w:rsid w:val="62F615EE"/>
    <w:rsid w:val="638B61DA"/>
    <w:rsid w:val="63C60FC0"/>
    <w:rsid w:val="63C703E3"/>
    <w:rsid w:val="64177A6E"/>
    <w:rsid w:val="646E0E0B"/>
    <w:rsid w:val="64BA3D7A"/>
    <w:rsid w:val="64CD08EA"/>
    <w:rsid w:val="64F179BC"/>
    <w:rsid w:val="65022545"/>
    <w:rsid w:val="65044496"/>
    <w:rsid w:val="65C94C55"/>
    <w:rsid w:val="65F71905"/>
    <w:rsid w:val="665704D3"/>
    <w:rsid w:val="66FB3677"/>
    <w:rsid w:val="673148E2"/>
    <w:rsid w:val="673E453B"/>
    <w:rsid w:val="675445CD"/>
    <w:rsid w:val="67C065A4"/>
    <w:rsid w:val="67D359C9"/>
    <w:rsid w:val="67E934CF"/>
    <w:rsid w:val="68152516"/>
    <w:rsid w:val="68195331"/>
    <w:rsid w:val="682D5AB2"/>
    <w:rsid w:val="68BD127B"/>
    <w:rsid w:val="68D20407"/>
    <w:rsid w:val="68FE36DD"/>
    <w:rsid w:val="694940A9"/>
    <w:rsid w:val="694E60FC"/>
    <w:rsid w:val="698F62F8"/>
    <w:rsid w:val="69E00902"/>
    <w:rsid w:val="69EF4042"/>
    <w:rsid w:val="6A415844"/>
    <w:rsid w:val="6A845731"/>
    <w:rsid w:val="6A8B6AC0"/>
    <w:rsid w:val="6B115C20"/>
    <w:rsid w:val="6B2A62D8"/>
    <w:rsid w:val="6B9072BA"/>
    <w:rsid w:val="6BFA618B"/>
    <w:rsid w:val="6C17459F"/>
    <w:rsid w:val="6C410A63"/>
    <w:rsid w:val="6C675CE6"/>
    <w:rsid w:val="6C8B0FF9"/>
    <w:rsid w:val="6C8C6B1F"/>
    <w:rsid w:val="6C97174C"/>
    <w:rsid w:val="6CEF35AF"/>
    <w:rsid w:val="6D45389E"/>
    <w:rsid w:val="6D4D62AE"/>
    <w:rsid w:val="6D4F4321"/>
    <w:rsid w:val="6D97577B"/>
    <w:rsid w:val="6DC02783"/>
    <w:rsid w:val="6DD8201C"/>
    <w:rsid w:val="6DFE57FA"/>
    <w:rsid w:val="6DFF7360"/>
    <w:rsid w:val="6E611B16"/>
    <w:rsid w:val="6E7A5F73"/>
    <w:rsid w:val="6EA91C0A"/>
    <w:rsid w:val="6EAA28F7"/>
    <w:rsid w:val="6EC407F2"/>
    <w:rsid w:val="6F185E78"/>
    <w:rsid w:val="6F2E3798"/>
    <w:rsid w:val="6F6F7A23"/>
    <w:rsid w:val="6FD74228"/>
    <w:rsid w:val="70377FE7"/>
    <w:rsid w:val="703B0F88"/>
    <w:rsid w:val="70FE448F"/>
    <w:rsid w:val="70FE5EDF"/>
    <w:rsid w:val="71493231"/>
    <w:rsid w:val="71633091"/>
    <w:rsid w:val="71EF5B86"/>
    <w:rsid w:val="73081CA5"/>
    <w:rsid w:val="7309757A"/>
    <w:rsid w:val="73835288"/>
    <w:rsid w:val="73944C37"/>
    <w:rsid w:val="73BC5F3C"/>
    <w:rsid w:val="73D03795"/>
    <w:rsid w:val="74100036"/>
    <w:rsid w:val="74237D69"/>
    <w:rsid w:val="74545B7C"/>
    <w:rsid w:val="7487762D"/>
    <w:rsid w:val="749E3893"/>
    <w:rsid w:val="75053151"/>
    <w:rsid w:val="75385498"/>
    <w:rsid w:val="753A180E"/>
    <w:rsid w:val="754B57C9"/>
    <w:rsid w:val="75907680"/>
    <w:rsid w:val="75DD41A6"/>
    <w:rsid w:val="76360227"/>
    <w:rsid w:val="765D3A06"/>
    <w:rsid w:val="768014A2"/>
    <w:rsid w:val="769211D6"/>
    <w:rsid w:val="769962BD"/>
    <w:rsid w:val="76BC207F"/>
    <w:rsid w:val="76EA2DC0"/>
    <w:rsid w:val="76EB4904"/>
    <w:rsid w:val="77311B44"/>
    <w:rsid w:val="774B7D02"/>
    <w:rsid w:val="777378F5"/>
    <w:rsid w:val="777A2D3C"/>
    <w:rsid w:val="778E3127"/>
    <w:rsid w:val="78250553"/>
    <w:rsid w:val="78537BEA"/>
    <w:rsid w:val="78656BA2"/>
    <w:rsid w:val="78C22246"/>
    <w:rsid w:val="78DC0666"/>
    <w:rsid w:val="78EA52F9"/>
    <w:rsid w:val="79074B81"/>
    <w:rsid w:val="792B7DEB"/>
    <w:rsid w:val="794F0939"/>
    <w:rsid w:val="79714BDB"/>
    <w:rsid w:val="79AF0FCA"/>
    <w:rsid w:val="79D82816"/>
    <w:rsid w:val="79EF2560"/>
    <w:rsid w:val="79F40916"/>
    <w:rsid w:val="7A0423EA"/>
    <w:rsid w:val="7A262361"/>
    <w:rsid w:val="7AB40A15"/>
    <w:rsid w:val="7ADE2C3C"/>
    <w:rsid w:val="7AF9279C"/>
    <w:rsid w:val="7B1B79EC"/>
    <w:rsid w:val="7BD76009"/>
    <w:rsid w:val="7BDF6541"/>
    <w:rsid w:val="7BF22E42"/>
    <w:rsid w:val="7C3D3992"/>
    <w:rsid w:val="7C635AEE"/>
    <w:rsid w:val="7C961A20"/>
    <w:rsid w:val="7CC51958"/>
    <w:rsid w:val="7CEC40B6"/>
    <w:rsid w:val="7CEE3FAE"/>
    <w:rsid w:val="7D0050EB"/>
    <w:rsid w:val="7D221D0F"/>
    <w:rsid w:val="7D4F55DD"/>
    <w:rsid w:val="7E1A7A97"/>
    <w:rsid w:val="7E2936C3"/>
    <w:rsid w:val="7E2E365C"/>
    <w:rsid w:val="7E635932"/>
    <w:rsid w:val="7E6411B9"/>
    <w:rsid w:val="7E830842"/>
    <w:rsid w:val="7EC04876"/>
    <w:rsid w:val="7EE06F82"/>
    <w:rsid w:val="7EF944E8"/>
    <w:rsid w:val="7F8773E3"/>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3"/>
    <w:autoRedefine/>
    <w:qFormat/>
    <w:uiPriority w:val="0"/>
    <w:pPr>
      <w:keepNext/>
      <w:keepLines/>
      <w:spacing w:before="280" w:after="290" w:line="376" w:lineRule="auto"/>
      <w:outlineLvl w:val="3"/>
    </w:pPr>
    <w:rPr>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5"/>
    <w:autoRedefine/>
    <w:qFormat/>
    <w:uiPriority w:val="0"/>
    <w:pPr>
      <w:jc w:val="left"/>
    </w:pPr>
    <w:rPr>
      <w:rFonts w:ascii="Arial" w:hAnsi="Arial" w:eastAsia="黑体" w:cs="Arial"/>
    </w:rPr>
  </w:style>
  <w:style w:type="paragraph" w:styleId="8">
    <w:name w:val="Body Text"/>
    <w:basedOn w:val="1"/>
    <w:autoRedefine/>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Block Text"/>
    <w:basedOn w:val="1"/>
    <w:next w:val="8"/>
    <w:qFormat/>
    <w:uiPriority w:val="0"/>
    <w:pPr>
      <w:spacing w:line="320" w:lineRule="exact"/>
      <w:ind w:left="1159" w:leftChars="320" w:right="153" w:rightChars="73" w:hanging="487" w:hangingChars="203"/>
    </w:pPr>
    <w:rPr>
      <w:snapToGrid w:val="0"/>
      <w:kern w:val="0"/>
      <w:sz w:val="24"/>
      <w:szCs w:val="20"/>
    </w:r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5"/>
    <w:autoRedefine/>
    <w:qFormat/>
    <w:uiPriority w:val="99"/>
    <w:rPr>
      <w:rFonts w:ascii="宋体" w:hAnsi="Courier New" w:eastAsiaTheme="minorEastAsia" w:cstheme="minorBidi"/>
      <w:szCs w:val="22"/>
    </w:rPr>
  </w:style>
  <w:style w:type="paragraph" w:styleId="13">
    <w:name w:val="Date"/>
    <w:basedOn w:val="1"/>
    <w:next w:val="1"/>
    <w:link w:val="52"/>
    <w:autoRedefine/>
    <w:qFormat/>
    <w:uiPriority w:val="0"/>
    <w:rPr>
      <w:rFonts w:ascii="Arial" w:hAnsi="Arial" w:eastAsia="宋体" w:cs="Arial"/>
      <w:b/>
      <w:sz w:val="28"/>
    </w:rPr>
  </w:style>
  <w:style w:type="paragraph" w:styleId="14">
    <w:name w:val="Balloon Text"/>
    <w:basedOn w:val="1"/>
    <w:link w:val="39"/>
    <w:autoRedefine/>
    <w:semiHidden/>
    <w:unhideWhenUsed/>
    <w:qFormat/>
    <w:uiPriority w:val="99"/>
    <w:rPr>
      <w:sz w:val="18"/>
      <w:szCs w:val="18"/>
    </w:rPr>
  </w:style>
  <w:style w:type="paragraph" w:styleId="15">
    <w:name w:val="footer"/>
    <w:basedOn w:val="1"/>
    <w:link w:val="44"/>
    <w:autoRedefine/>
    <w:unhideWhenUsed/>
    <w:qFormat/>
    <w:uiPriority w:val="99"/>
    <w:pPr>
      <w:tabs>
        <w:tab w:val="center" w:pos="4153"/>
        <w:tab w:val="right" w:pos="8306"/>
      </w:tabs>
      <w:snapToGrid w:val="0"/>
      <w:jc w:val="left"/>
    </w:pPr>
    <w:rPr>
      <w:sz w:val="18"/>
      <w:szCs w:val="18"/>
    </w:rPr>
  </w:style>
  <w:style w:type="paragraph" w:styleId="16">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autoRedefine/>
    <w:qFormat/>
    <w:uiPriority w:val="0"/>
    <w:pPr>
      <w:spacing w:before="100" w:beforeAutospacing="1" w:after="100" w:afterAutospacing="1"/>
      <w:jc w:val="left"/>
    </w:pPr>
    <w:rPr>
      <w:rFonts w:cs="Times New Roman"/>
      <w:kern w:val="0"/>
      <w:sz w:val="24"/>
    </w:rPr>
  </w:style>
  <w:style w:type="paragraph" w:styleId="20">
    <w:name w:val="index 1"/>
    <w:basedOn w:val="1"/>
    <w:next w:val="1"/>
    <w:autoRedefine/>
    <w:qFormat/>
    <w:uiPriority w:val="0"/>
    <w:pPr>
      <w:jc w:val="center"/>
    </w:pPr>
    <w:rPr>
      <w:rFonts w:ascii="Arial" w:hAnsi="Arial" w:eastAsia="Arial" w:cs="Arial"/>
      <w:b/>
      <w:bCs/>
      <w:sz w:val="28"/>
    </w:rPr>
  </w:style>
  <w:style w:type="paragraph" w:styleId="21">
    <w:name w:val="annotation subject"/>
    <w:basedOn w:val="7"/>
    <w:next w:val="7"/>
    <w:link w:val="66"/>
    <w:autoRedefine/>
    <w:semiHidden/>
    <w:unhideWhenUsed/>
    <w:qFormat/>
    <w:uiPriority w:val="99"/>
    <w:rPr>
      <w:rFonts w:ascii="@仿宋_GB2312" w:hAnsi="@仿宋_GB2312" w:eastAsia="@仿宋_GB2312" w:cs="@仿宋_GB2312"/>
      <w:b/>
      <w:bCs/>
    </w:rPr>
  </w:style>
  <w:style w:type="paragraph" w:styleId="22">
    <w:name w:val="Body Text First Indent"/>
    <w:basedOn w:val="8"/>
    <w:autoRedefine/>
    <w:unhideWhenUsed/>
    <w:qFormat/>
    <w:uiPriority w:val="99"/>
    <w:pPr>
      <w:ind w:firstLine="420" w:firstLineChars="100"/>
    </w:pPr>
  </w:style>
  <w:style w:type="paragraph" w:styleId="23">
    <w:name w:val="Body Text First Indent 2"/>
    <w:basedOn w:val="9"/>
    <w:next w:val="10"/>
    <w:qFormat/>
    <w:uiPriority w:val="0"/>
    <w:pPr>
      <w:ind w:left="420" w:firstLine="420" w:firstLineChars="200"/>
    </w:pPr>
  </w:style>
  <w:style w:type="table" w:styleId="25">
    <w:name w:val="Table Grid"/>
    <w:basedOn w:val="24"/>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b/>
      <w:bCs/>
    </w:rPr>
  </w:style>
  <w:style w:type="character" w:styleId="28">
    <w:name w:val="FollowedHyperlink"/>
    <w:basedOn w:val="26"/>
    <w:semiHidden/>
    <w:unhideWhenUsed/>
    <w:qFormat/>
    <w:uiPriority w:val="99"/>
    <w:rPr>
      <w:color w:val="800080"/>
      <w:u w:val="none"/>
    </w:rPr>
  </w:style>
  <w:style w:type="character" w:styleId="29">
    <w:name w:val="HTML Definition"/>
    <w:basedOn w:val="26"/>
    <w:semiHidden/>
    <w:unhideWhenUsed/>
    <w:qFormat/>
    <w:uiPriority w:val="99"/>
  </w:style>
  <w:style w:type="character" w:styleId="30">
    <w:name w:val="HTML Typewriter"/>
    <w:basedOn w:val="26"/>
    <w:semiHidden/>
    <w:unhideWhenUsed/>
    <w:qFormat/>
    <w:uiPriority w:val="99"/>
    <w:rPr>
      <w:rFonts w:hint="default" w:ascii="monospace" w:hAnsi="monospace" w:eastAsia="monospace" w:cs="monospace"/>
      <w:sz w:val="20"/>
    </w:rPr>
  </w:style>
  <w:style w:type="character" w:styleId="31">
    <w:name w:val="HTML Acronym"/>
    <w:basedOn w:val="26"/>
    <w:semiHidden/>
    <w:unhideWhenUsed/>
    <w:qFormat/>
    <w:uiPriority w:val="99"/>
  </w:style>
  <w:style w:type="character" w:styleId="32">
    <w:name w:val="HTML Variable"/>
    <w:basedOn w:val="26"/>
    <w:semiHidden/>
    <w:unhideWhenUsed/>
    <w:qFormat/>
    <w:uiPriority w:val="99"/>
  </w:style>
  <w:style w:type="character" w:styleId="33">
    <w:name w:val="Hyperlink"/>
    <w:basedOn w:val="26"/>
    <w:autoRedefine/>
    <w:unhideWhenUsed/>
    <w:qFormat/>
    <w:uiPriority w:val="99"/>
    <w:rPr>
      <w:color w:val="0000FF" w:themeColor="hyperlink"/>
      <w:u w:val="single"/>
      <w14:textFill>
        <w14:solidFill>
          <w14:schemeClr w14:val="hlink"/>
        </w14:solidFill>
      </w14:textFill>
    </w:rPr>
  </w:style>
  <w:style w:type="character" w:styleId="34">
    <w:name w:val="HTML Code"/>
    <w:basedOn w:val="26"/>
    <w:semiHidden/>
    <w:unhideWhenUsed/>
    <w:qFormat/>
    <w:uiPriority w:val="99"/>
    <w:rPr>
      <w:rFonts w:ascii="monospace" w:hAnsi="monospace" w:eastAsia="monospace" w:cs="monospace"/>
      <w:sz w:val="20"/>
    </w:rPr>
  </w:style>
  <w:style w:type="character" w:styleId="35">
    <w:name w:val="annotation reference"/>
    <w:basedOn w:val="26"/>
    <w:autoRedefine/>
    <w:semiHidden/>
    <w:unhideWhenUsed/>
    <w:qFormat/>
    <w:uiPriority w:val="99"/>
    <w:rPr>
      <w:sz w:val="21"/>
      <w:szCs w:val="21"/>
    </w:rPr>
  </w:style>
  <w:style w:type="character" w:styleId="36">
    <w:name w:val="HTML Cite"/>
    <w:basedOn w:val="26"/>
    <w:semiHidden/>
    <w:unhideWhenUsed/>
    <w:qFormat/>
    <w:uiPriority w:val="99"/>
  </w:style>
  <w:style w:type="character" w:styleId="37">
    <w:name w:val="HTML Keyboard"/>
    <w:basedOn w:val="26"/>
    <w:semiHidden/>
    <w:unhideWhenUsed/>
    <w:qFormat/>
    <w:uiPriority w:val="99"/>
    <w:rPr>
      <w:rFonts w:hint="default" w:ascii="monospace" w:hAnsi="monospace" w:eastAsia="monospace" w:cs="monospace"/>
      <w:sz w:val="20"/>
    </w:rPr>
  </w:style>
  <w:style w:type="character" w:styleId="38">
    <w:name w:val="HTML Sample"/>
    <w:basedOn w:val="26"/>
    <w:semiHidden/>
    <w:unhideWhenUsed/>
    <w:qFormat/>
    <w:uiPriority w:val="99"/>
    <w:rPr>
      <w:rFonts w:hint="default" w:ascii="monospace" w:hAnsi="monospace" w:eastAsia="monospace" w:cs="monospace"/>
    </w:rPr>
  </w:style>
  <w:style w:type="character" w:customStyle="1" w:styleId="39">
    <w:name w:val="批注框文本 Char"/>
    <w:basedOn w:val="26"/>
    <w:link w:val="14"/>
    <w:autoRedefine/>
    <w:semiHidden/>
    <w:qFormat/>
    <w:uiPriority w:val="99"/>
    <w:rPr>
      <w:rFonts w:ascii="@仿宋_GB2312" w:hAnsi="@仿宋_GB2312" w:eastAsia="@仿宋_GB2312" w:cs="@仿宋_GB2312"/>
      <w:sz w:val="18"/>
      <w:szCs w:val="18"/>
    </w:rPr>
  </w:style>
  <w:style w:type="paragraph" w:customStyle="1" w:styleId="40">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2">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3">
    <w:name w:val="页眉 Char"/>
    <w:basedOn w:val="26"/>
    <w:link w:val="16"/>
    <w:autoRedefine/>
    <w:qFormat/>
    <w:uiPriority w:val="99"/>
    <w:rPr>
      <w:rFonts w:ascii="@仿宋_GB2312" w:hAnsi="@仿宋_GB2312" w:eastAsia="@仿宋_GB2312" w:cs="@仿宋_GB2312"/>
      <w:sz w:val="18"/>
      <w:szCs w:val="18"/>
    </w:rPr>
  </w:style>
  <w:style w:type="character" w:customStyle="1" w:styleId="44">
    <w:name w:val="页脚 Char"/>
    <w:basedOn w:val="26"/>
    <w:link w:val="15"/>
    <w:autoRedefine/>
    <w:qFormat/>
    <w:uiPriority w:val="99"/>
    <w:rPr>
      <w:rFonts w:ascii="@仿宋_GB2312" w:hAnsi="@仿宋_GB2312" w:eastAsia="@仿宋_GB2312" w:cs="@仿宋_GB2312"/>
      <w:sz w:val="18"/>
      <w:szCs w:val="18"/>
    </w:rPr>
  </w:style>
  <w:style w:type="character" w:customStyle="1" w:styleId="45">
    <w:name w:val="纯文本 Char"/>
    <w:link w:val="12"/>
    <w:autoRedefine/>
    <w:qFormat/>
    <w:uiPriority w:val="0"/>
    <w:rPr>
      <w:rFonts w:ascii="宋体" w:hAnsi="Courier New"/>
    </w:rPr>
  </w:style>
  <w:style w:type="character" w:customStyle="1" w:styleId="46">
    <w:name w:val="纯文本 字符1"/>
    <w:basedOn w:val="26"/>
    <w:autoRedefine/>
    <w:semiHidden/>
    <w:qFormat/>
    <w:uiPriority w:val="99"/>
    <w:rPr>
      <w:rFonts w:hAnsi="Courier New" w:cs="Courier New" w:asciiTheme="minorEastAsia"/>
      <w:szCs w:val="20"/>
    </w:rPr>
  </w:style>
  <w:style w:type="character" w:customStyle="1" w:styleId="47">
    <w:name w:val="未处理的提及1"/>
    <w:basedOn w:val="26"/>
    <w:autoRedefine/>
    <w:semiHidden/>
    <w:unhideWhenUsed/>
    <w:qFormat/>
    <w:uiPriority w:val="99"/>
    <w:rPr>
      <w:color w:val="605E5C"/>
      <w:shd w:val="clear" w:color="auto" w:fill="E1DFDD"/>
    </w:rPr>
  </w:style>
  <w:style w:type="paragraph" w:styleId="48">
    <w:name w:val="List Paragraph"/>
    <w:basedOn w:val="1"/>
    <w:autoRedefine/>
    <w:qFormat/>
    <w:uiPriority w:val="34"/>
    <w:pPr>
      <w:ind w:firstLine="420" w:firstLineChars="200"/>
    </w:pPr>
  </w:style>
  <w:style w:type="paragraph" w:customStyle="1" w:styleId="49">
    <w:name w:val="Char Char Char Char Char Char Char1 Char"/>
    <w:basedOn w:val="1"/>
    <w:autoRedefine/>
    <w:qFormat/>
    <w:uiPriority w:val="0"/>
    <w:rPr>
      <w:rFonts w:ascii="Arial" w:hAnsi="Arial" w:eastAsia="宋体" w:cs="Arial"/>
      <w:sz w:val="24"/>
    </w:rPr>
  </w:style>
  <w:style w:type="table" w:customStyle="1" w:styleId="50">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1">
    <w:name w:val="日期 字符"/>
    <w:basedOn w:val="26"/>
    <w:autoRedefine/>
    <w:semiHidden/>
    <w:qFormat/>
    <w:uiPriority w:val="99"/>
    <w:rPr>
      <w:rFonts w:ascii="@仿宋_GB2312" w:hAnsi="@仿宋_GB2312" w:eastAsia="@仿宋_GB2312" w:cs="@仿宋_GB2312"/>
      <w:szCs w:val="20"/>
    </w:rPr>
  </w:style>
  <w:style w:type="character" w:customStyle="1" w:styleId="52">
    <w:name w:val="日期 Char"/>
    <w:link w:val="13"/>
    <w:autoRedefine/>
    <w:qFormat/>
    <w:uiPriority w:val="0"/>
    <w:rPr>
      <w:rFonts w:ascii="Arial" w:hAnsi="Arial" w:eastAsia="宋体" w:cs="Arial"/>
      <w:b/>
      <w:sz w:val="28"/>
      <w:szCs w:val="20"/>
    </w:rPr>
  </w:style>
  <w:style w:type="character" w:customStyle="1" w:styleId="53">
    <w:name w:val="纯文本 Char1"/>
    <w:autoRedefine/>
    <w:qFormat/>
    <w:locked/>
    <w:uiPriority w:val="99"/>
    <w:rPr>
      <w:rFonts w:ascii="Arial" w:hAnsi="Arial" w:eastAsia="Arial"/>
      <w:kern w:val="2"/>
      <w:sz w:val="21"/>
      <w:lang w:val="en-US" w:eastAsia="zh-CN" w:bidi="ar-SA"/>
    </w:rPr>
  </w:style>
  <w:style w:type="character" w:customStyle="1" w:styleId="54">
    <w:name w:val="批注文字 Char"/>
    <w:basedOn w:val="26"/>
    <w:autoRedefine/>
    <w:semiHidden/>
    <w:qFormat/>
    <w:uiPriority w:val="99"/>
    <w:rPr>
      <w:rFonts w:ascii="@仿宋_GB2312" w:hAnsi="@仿宋_GB2312" w:eastAsia="@仿宋_GB2312" w:cs="@仿宋_GB2312"/>
      <w:szCs w:val="20"/>
    </w:rPr>
  </w:style>
  <w:style w:type="character" w:customStyle="1" w:styleId="55">
    <w:name w:val="批注文字 Char1"/>
    <w:link w:val="7"/>
    <w:autoRedefine/>
    <w:qFormat/>
    <w:uiPriority w:val="0"/>
    <w:rPr>
      <w:rFonts w:ascii="Arial" w:hAnsi="Arial" w:eastAsia="黑体" w:cs="Arial"/>
      <w:szCs w:val="20"/>
    </w:rPr>
  </w:style>
  <w:style w:type="character" w:customStyle="1" w:styleId="56">
    <w:name w:val="标题 1 Char"/>
    <w:basedOn w:val="26"/>
    <w:link w:val="2"/>
    <w:autoRedefine/>
    <w:qFormat/>
    <w:uiPriority w:val="9"/>
    <w:rPr>
      <w:rFonts w:ascii="@仿宋_GB2312" w:hAnsi="@仿宋_GB2312" w:eastAsia="@仿宋_GB2312" w:cs="@仿宋_GB2312"/>
      <w:b/>
      <w:bCs/>
      <w:kern w:val="44"/>
      <w:sz w:val="44"/>
      <w:szCs w:val="44"/>
    </w:rPr>
  </w:style>
  <w:style w:type="paragraph" w:customStyle="1" w:styleId="5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标题 3 Char"/>
    <w:basedOn w:val="26"/>
    <w:link w:val="4"/>
    <w:autoRedefine/>
    <w:semiHidden/>
    <w:qFormat/>
    <w:uiPriority w:val="9"/>
    <w:rPr>
      <w:rFonts w:ascii="@仿宋_GB2312" w:hAnsi="@仿宋_GB2312" w:eastAsia="@仿宋_GB2312" w:cs="@仿宋_GB2312"/>
      <w:b/>
      <w:bCs/>
      <w:sz w:val="32"/>
      <w:szCs w:val="32"/>
    </w:rPr>
  </w:style>
  <w:style w:type="character" w:customStyle="1" w:styleId="59">
    <w:name w:val="fontstyle01"/>
    <w:basedOn w:val="26"/>
    <w:autoRedefine/>
    <w:qFormat/>
    <w:uiPriority w:val="0"/>
    <w:rPr>
      <w:rFonts w:hint="eastAsia" w:ascii="宋体" w:hAnsi="宋体" w:eastAsia="宋体"/>
      <w:color w:val="000000"/>
      <w:sz w:val="22"/>
      <w:szCs w:val="22"/>
    </w:rPr>
  </w:style>
  <w:style w:type="character" w:customStyle="1" w:styleId="60">
    <w:name w:val="fontstyle21"/>
    <w:basedOn w:val="26"/>
    <w:autoRedefine/>
    <w:qFormat/>
    <w:uiPriority w:val="0"/>
    <w:rPr>
      <w:rFonts w:hint="default" w:ascii="TimesNewRomanPSMT" w:hAnsi="TimesNewRomanPSMT"/>
      <w:color w:val="000000"/>
      <w:sz w:val="22"/>
      <w:szCs w:val="22"/>
    </w:rPr>
  </w:style>
  <w:style w:type="character" w:customStyle="1" w:styleId="6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2">
    <w:name w:val="标题 4 字符"/>
    <w:basedOn w:val="26"/>
    <w:autoRedefine/>
    <w:semiHidden/>
    <w:qFormat/>
    <w:uiPriority w:val="9"/>
    <w:rPr>
      <w:rFonts w:asciiTheme="majorHAnsi" w:hAnsiTheme="majorHAnsi" w:eastAsiaTheme="majorEastAsia" w:cstheme="majorBidi"/>
      <w:b/>
      <w:bCs/>
      <w:sz w:val="28"/>
      <w:szCs w:val="28"/>
    </w:rPr>
  </w:style>
  <w:style w:type="character" w:customStyle="1" w:styleId="63">
    <w:name w:val="标题 4 Char1"/>
    <w:link w:val="5"/>
    <w:autoRedefine/>
    <w:qFormat/>
    <w:uiPriority w:val="0"/>
    <w:rPr>
      <w:rFonts w:ascii="@仿宋_GB2312" w:hAnsi="@仿宋_GB2312" w:eastAsia="@仿宋_GB2312" w:cs="@仿宋_GB2312"/>
      <w:b/>
      <w:bCs/>
      <w:sz w:val="28"/>
      <w:szCs w:val="28"/>
    </w:rPr>
  </w:style>
  <w:style w:type="character" w:customStyle="1" w:styleId="64">
    <w:name w:val="标题 4 Char"/>
    <w:autoRedefine/>
    <w:qFormat/>
    <w:uiPriority w:val="0"/>
    <w:rPr>
      <w:rFonts w:ascii="Arial" w:hAnsi="Arial" w:eastAsia="Arial"/>
      <w:b/>
      <w:bCs/>
      <w:kern w:val="2"/>
      <w:sz w:val="28"/>
      <w:szCs w:val="28"/>
      <w:lang w:val="en-US" w:eastAsia="zh-CN" w:bidi="ar-SA"/>
    </w:rPr>
  </w:style>
  <w:style w:type="table" w:customStyle="1" w:styleId="65">
    <w:name w:val="网格型1"/>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
    <w:name w:val="批注主题 Char"/>
    <w:basedOn w:val="55"/>
    <w:link w:val="21"/>
    <w:autoRedefine/>
    <w:semiHidden/>
    <w:qFormat/>
    <w:uiPriority w:val="99"/>
    <w:rPr>
      <w:rFonts w:ascii="@仿宋_GB2312" w:hAnsi="@仿宋_GB2312" w:eastAsia="@仿宋_GB2312" w:cs="@仿宋_GB2312"/>
      <w:b/>
      <w:bCs/>
      <w:szCs w:val="20"/>
    </w:rPr>
  </w:style>
  <w:style w:type="table" w:customStyle="1" w:styleId="67">
    <w:name w:val="Table Normal"/>
    <w:autoRedefine/>
    <w:semiHidden/>
    <w:unhideWhenUsed/>
    <w:qFormat/>
    <w:uiPriority w:val="0"/>
    <w:tblPr>
      <w:tblCellMar>
        <w:top w:w="0" w:type="dxa"/>
        <w:left w:w="0" w:type="dxa"/>
        <w:bottom w:w="0" w:type="dxa"/>
        <w:right w:w="0" w:type="dxa"/>
      </w:tblCellMar>
    </w:tblPr>
  </w:style>
  <w:style w:type="paragraph" w:customStyle="1" w:styleId="68">
    <w:name w:val="Table Text"/>
    <w:basedOn w:val="1"/>
    <w:autoRedefine/>
    <w:semiHidden/>
    <w:qFormat/>
    <w:uiPriority w:val="0"/>
    <w:rPr>
      <w:rFonts w:ascii="Arial" w:hAnsi="Arial" w:eastAsia="Arial" w:cs="Arial"/>
      <w:sz w:val="21"/>
      <w:szCs w:val="21"/>
      <w:lang w:val="en-US" w:eastAsia="en-US" w:bidi="ar-SA"/>
    </w:rPr>
  </w:style>
  <w:style w:type="table" w:customStyle="1" w:styleId="69">
    <w:name w:val="Plain Table 2"/>
    <w:basedOn w:val="24"/>
    <w:qFormat/>
    <w:uiPriority w:val="42"/>
    <w:rPr>
      <w:rFonts w:asciiTheme="minorHAnsi" w:hAnsiTheme="minorHAnsi" w:eastAsiaTheme="minorEastAsia" w:cstheme="minorBidi"/>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70">
    <w:name w:val="first-child"/>
    <w:basedOn w:val="26"/>
    <w:qFormat/>
    <w:uiPriority w:val="0"/>
  </w:style>
  <w:style w:type="character" w:customStyle="1" w:styleId="71">
    <w:name w:val="layui-this"/>
    <w:basedOn w:val="26"/>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50</Pages>
  <Words>9664</Words>
  <Characters>10272</Characters>
  <Lines>1</Lines>
  <Paragraphs>1</Paragraphs>
  <TotalTime>8</TotalTime>
  <ScaleCrop>false</ScaleCrop>
  <LinksUpToDate>false</LinksUpToDate>
  <CharactersWithSpaces>10494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灰灰菇凉</cp:lastModifiedBy>
  <cp:lastPrinted>2019-12-07T15:18:00Z</cp:lastPrinted>
  <dcterms:modified xsi:type="dcterms:W3CDTF">2025-05-19T08:03:24Z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11950390AC3F4DD79E4D5BC3CEFA9300_13</vt:lpwstr>
  </property>
  <property fmtid="{D5CDD505-2E9C-101B-9397-08002B2CF9AE}" pid="4" name="KSOTemplateDocerSaveRecord">
    <vt:lpwstr>eyJoZGlkIjoiNWNjYzE4NTVlZmNjMWQyNmRjMmM1MTExMTFmYTZiMDkiLCJ1c2VySWQiOiIyNzYwMjQyNjMifQ==</vt:lpwstr>
  </property>
</Properties>
</file>