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color w:val="auto"/>
          <w:kern w:val="0"/>
          <w:sz w:val="36"/>
          <w:szCs w:val="36"/>
        </w:rPr>
      </w:pPr>
    </w:p>
    <w:p>
      <w:pPr>
        <w:spacing w:after="156" w:afterLines="50"/>
        <w:ind w:left="-850" w:leftChars="-405" w:right="-625"/>
        <w:jc w:val="center"/>
        <w:rPr>
          <w:rFonts w:hint="eastAsia" w:ascii="宋体" w:hAnsi="宋体"/>
          <w:b/>
          <w:color w:val="auto"/>
          <w:sz w:val="48"/>
          <w:szCs w:val="48"/>
          <w:lang w:eastAsia="zh-CN"/>
        </w:rPr>
      </w:pPr>
      <w:bookmarkStart w:id="0" w:name="OLE_LINK1"/>
      <w:bookmarkStart w:id="1" w:name="OLE_LINK3"/>
      <w:bookmarkStart w:id="2" w:name="_Toc21247_WPSOffice_Level1"/>
      <w:bookmarkStart w:id="3" w:name="OLE_LINK2"/>
      <w:r>
        <w:rPr>
          <w:rFonts w:hint="eastAsia" w:ascii="宋体" w:hAnsi="宋体"/>
          <w:b/>
          <w:color w:val="auto"/>
          <w:sz w:val="48"/>
          <w:szCs w:val="48"/>
          <w:lang w:eastAsia="zh-CN"/>
        </w:rPr>
        <w:t>滁州市第二人民医院污水站在线监控设备维护</w:t>
      </w:r>
    </w:p>
    <w:p>
      <w:pPr>
        <w:spacing w:after="156" w:afterLines="50"/>
        <w:ind w:left="-850" w:leftChars="-405" w:right="-625"/>
        <w:jc w:val="center"/>
        <w:rPr>
          <w:rFonts w:hint="eastAsia" w:ascii="宋体" w:hAnsi="宋体"/>
          <w:b/>
          <w:color w:val="auto"/>
          <w:sz w:val="48"/>
          <w:szCs w:val="48"/>
          <w:lang w:eastAsia="zh-CN"/>
        </w:rPr>
      </w:pPr>
      <w:r>
        <w:rPr>
          <w:rFonts w:hint="eastAsia" w:ascii="宋体" w:hAnsi="宋体"/>
          <w:b/>
          <w:color w:val="auto"/>
          <w:sz w:val="48"/>
          <w:szCs w:val="48"/>
          <w:lang w:eastAsia="zh-CN"/>
        </w:rPr>
        <w:t>及排污许可证自行监测服务项目</w:t>
      </w:r>
    </w:p>
    <w:p>
      <w:pPr>
        <w:spacing w:after="156" w:afterLines="50"/>
        <w:ind w:left="-850" w:leftChars="-405" w:right="-625"/>
        <w:jc w:val="center"/>
        <w:rPr>
          <w:color w:val="auto"/>
          <w:sz w:val="24"/>
        </w:rPr>
      </w:pPr>
    </w:p>
    <w:p>
      <w:pPr>
        <w:pStyle w:val="2"/>
        <w:ind w:left="0" w:leftChars="0" w:firstLine="3200" w:firstLineChars="1000"/>
        <w:rPr>
          <w:color w:val="auto"/>
          <w:sz w:val="32"/>
          <w:szCs w:val="32"/>
        </w:rPr>
      </w:pPr>
    </w:p>
    <w:p>
      <w:pPr>
        <w:pStyle w:val="2"/>
        <w:ind w:left="0" w:leftChars="0" w:firstLine="0" w:firstLineChars="0"/>
        <w:jc w:val="center"/>
        <w:rPr>
          <w:rFonts w:ascii="宋体" w:hAnsi="宋体" w:cs="宋体"/>
          <w:color w:val="auto"/>
          <w:sz w:val="32"/>
          <w:szCs w:val="32"/>
        </w:rPr>
      </w:pPr>
      <w:r>
        <w:rPr>
          <w:rFonts w:hint="eastAsia"/>
          <w:color w:val="auto"/>
          <w:sz w:val="32"/>
          <w:szCs w:val="32"/>
        </w:rPr>
        <w:t>项目编号：</w:t>
      </w:r>
      <w:r>
        <w:rPr>
          <w:rFonts w:hint="eastAsia"/>
          <w:color w:val="auto"/>
          <w:sz w:val="32"/>
          <w:szCs w:val="32"/>
          <w:lang w:eastAsia="zh-CN"/>
        </w:rPr>
        <w:t>CZEY-2024016</w:t>
      </w:r>
    </w:p>
    <w:p>
      <w:pPr>
        <w:spacing w:line="360" w:lineRule="auto"/>
        <w:rPr>
          <w:rFonts w:ascii="楷体" w:hAnsi="楷体" w:eastAsia="楷体" w:cs="楷体"/>
          <w:b/>
          <w:color w:val="auto"/>
          <w:sz w:val="96"/>
          <w:szCs w:val="96"/>
        </w:rPr>
      </w:pPr>
    </w:p>
    <w:p>
      <w:pPr>
        <w:spacing w:line="360" w:lineRule="auto"/>
        <w:jc w:val="center"/>
        <w:rPr>
          <w:rFonts w:ascii="宋体" w:hAnsi="宋体" w:cs="宋体"/>
          <w:bCs/>
          <w:color w:val="auto"/>
          <w:sz w:val="96"/>
          <w:szCs w:val="96"/>
        </w:rPr>
      </w:pPr>
      <w:r>
        <w:rPr>
          <w:rFonts w:hint="eastAsia" w:ascii="宋体" w:hAnsi="宋体" w:cs="宋体"/>
          <w:b/>
          <w:color w:val="auto"/>
          <w:sz w:val="96"/>
          <w:szCs w:val="96"/>
        </w:rPr>
        <w:t>招 标 文 件</w:t>
      </w:r>
    </w:p>
    <w:p>
      <w:pPr>
        <w:rPr>
          <w:rFonts w:ascii="宋体" w:hAnsi="宋体"/>
          <w:b/>
          <w:color w:val="auto"/>
          <w:sz w:val="84"/>
          <w:szCs w:val="84"/>
        </w:rPr>
      </w:pPr>
    </w:p>
    <w:p>
      <w:pPr>
        <w:pStyle w:val="2"/>
        <w:rPr>
          <w:color w:val="auto"/>
        </w:rPr>
      </w:pPr>
    </w:p>
    <w:p>
      <w:pPr>
        <w:rPr>
          <w:rFonts w:ascii="宋体"/>
          <w:color w:val="auto"/>
          <w:sz w:val="28"/>
          <w:szCs w:val="28"/>
        </w:rPr>
      </w:pPr>
    </w:p>
    <w:p>
      <w:pPr>
        <w:ind w:firstLine="643" w:firstLineChars="200"/>
        <w:rPr>
          <w:rFonts w:ascii="宋体"/>
          <w:b/>
          <w:color w:val="auto"/>
          <w:sz w:val="32"/>
          <w:szCs w:val="32"/>
        </w:rPr>
      </w:pPr>
    </w:p>
    <w:p>
      <w:pPr>
        <w:pStyle w:val="7"/>
        <w:rPr>
          <w:color w:val="auto"/>
        </w:rPr>
      </w:pPr>
    </w:p>
    <w:p>
      <w:pPr>
        <w:rPr>
          <w:rFonts w:ascii="宋体"/>
          <w:b/>
          <w:color w:val="auto"/>
          <w:spacing w:val="-20"/>
          <w:sz w:val="32"/>
          <w:szCs w:val="32"/>
        </w:rPr>
      </w:pPr>
      <w:r>
        <w:rPr>
          <w:rFonts w:hint="eastAsia" w:ascii="宋体"/>
          <w:b/>
          <w:color w:val="auto"/>
          <w:sz w:val="32"/>
          <w:szCs w:val="32"/>
        </w:rPr>
        <w:t>采  购  人：</w:t>
      </w:r>
      <w:r>
        <w:rPr>
          <w:rFonts w:hint="eastAsia" w:ascii="宋体" w:hAnsi="宋体"/>
          <w:b/>
          <w:color w:val="auto"/>
          <w:spacing w:val="-20"/>
          <w:sz w:val="32"/>
          <w:szCs w:val="32"/>
          <w:u w:val="single"/>
        </w:rPr>
        <w:t>滁州市第二人民医院（市传染病医院、市精神病医院）</w:t>
      </w:r>
      <w:r>
        <w:rPr>
          <w:rFonts w:hint="eastAsia" w:ascii="宋体"/>
          <w:b/>
          <w:color w:val="auto"/>
          <w:spacing w:val="-20"/>
          <w:sz w:val="32"/>
          <w:szCs w:val="32"/>
        </w:rPr>
        <w:t>（盖单位章）</w:t>
      </w:r>
    </w:p>
    <w:p>
      <w:pPr>
        <w:rPr>
          <w:rFonts w:ascii="宋体"/>
          <w:b/>
          <w:color w:val="auto"/>
          <w:sz w:val="32"/>
          <w:szCs w:val="32"/>
          <w:u w:val="single"/>
        </w:rPr>
      </w:pPr>
      <w:r>
        <w:rPr>
          <w:rFonts w:hint="eastAsia" w:ascii="宋体"/>
          <w:b/>
          <w:color w:val="auto"/>
          <w:sz w:val="32"/>
          <w:szCs w:val="32"/>
        </w:rPr>
        <w:t>采购代理机构：</w:t>
      </w:r>
      <w:r>
        <w:rPr>
          <w:rFonts w:hint="eastAsia" w:ascii="宋体"/>
          <w:b/>
          <w:color w:val="auto"/>
          <w:sz w:val="32"/>
          <w:szCs w:val="32"/>
          <w:u w:val="single"/>
        </w:rPr>
        <w:t xml:space="preserve"> </w:t>
      </w:r>
      <w:r>
        <w:rPr>
          <w:rFonts w:hint="eastAsia" w:ascii="宋体" w:hAnsi="宋体"/>
          <w:b/>
          <w:color w:val="auto"/>
          <w:spacing w:val="-20"/>
          <w:sz w:val="32"/>
          <w:szCs w:val="32"/>
          <w:u w:val="single"/>
        </w:rPr>
        <w:t xml:space="preserve">江苏川页工程项目管理有限公司  </w:t>
      </w:r>
      <w:r>
        <w:rPr>
          <w:rFonts w:hint="eastAsia" w:ascii="宋体"/>
          <w:b/>
          <w:color w:val="auto"/>
          <w:sz w:val="32"/>
          <w:szCs w:val="32"/>
        </w:rPr>
        <w:t>（盖单位章）</w:t>
      </w:r>
    </w:p>
    <w:p>
      <w:pPr>
        <w:jc w:val="center"/>
        <w:rPr>
          <w:rFonts w:ascii="宋体"/>
          <w:b/>
          <w:color w:val="auto"/>
          <w:sz w:val="32"/>
          <w:szCs w:val="32"/>
        </w:rPr>
      </w:pPr>
      <w:r>
        <w:rPr>
          <w:rFonts w:hint="eastAsia" w:ascii="宋体"/>
          <w:b/>
          <w:color w:val="auto"/>
          <w:sz w:val="32"/>
          <w:szCs w:val="32"/>
          <w:u w:val="single"/>
        </w:rPr>
        <w:t xml:space="preserve">二〇二四 </w:t>
      </w:r>
      <w:r>
        <w:rPr>
          <w:rFonts w:hint="eastAsia" w:ascii="宋体"/>
          <w:b/>
          <w:color w:val="auto"/>
          <w:sz w:val="32"/>
          <w:szCs w:val="32"/>
        </w:rPr>
        <w:t xml:space="preserve">年 </w:t>
      </w:r>
      <w:r>
        <w:rPr>
          <w:rFonts w:hint="eastAsia" w:ascii="宋体"/>
          <w:b/>
          <w:color w:val="auto"/>
          <w:sz w:val="32"/>
          <w:szCs w:val="32"/>
          <w:u w:val="single"/>
        </w:rPr>
        <w:t xml:space="preserve"> </w:t>
      </w:r>
      <w:r>
        <w:rPr>
          <w:rFonts w:hint="eastAsia" w:ascii="宋体"/>
          <w:b/>
          <w:color w:val="auto"/>
          <w:sz w:val="32"/>
          <w:szCs w:val="32"/>
          <w:u w:val="single"/>
          <w:lang w:val="en-US" w:eastAsia="zh-CN"/>
        </w:rPr>
        <w:t>三</w:t>
      </w:r>
      <w:r>
        <w:rPr>
          <w:rFonts w:hint="eastAsia" w:ascii="宋体"/>
          <w:b/>
          <w:color w:val="auto"/>
          <w:sz w:val="32"/>
          <w:szCs w:val="32"/>
          <w:u w:val="single"/>
        </w:rPr>
        <w:t xml:space="preserve"> </w:t>
      </w:r>
      <w:r>
        <w:rPr>
          <w:rFonts w:hint="eastAsia" w:ascii="宋体"/>
          <w:b/>
          <w:color w:val="auto"/>
          <w:sz w:val="32"/>
          <w:szCs w:val="32"/>
        </w:rPr>
        <w:t>月</w:t>
      </w:r>
    </w:p>
    <w:p>
      <w:pPr>
        <w:adjustRightInd w:val="0"/>
        <w:snapToGrid w:val="0"/>
        <w:spacing w:line="460" w:lineRule="exact"/>
        <w:jc w:val="center"/>
        <w:rPr>
          <w:rFonts w:hint="eastAsia" w:ascii="宋体" w:hAnsi="宋体" w:cs="宋体"/>
          <w:b/>
          <w:color w:val="auto"/>
          <w:spacing w:val="20"/>
          <w:sz w:val="32"/>
          <w:szCs w:val="32"/>
        </w:rPr>
      </w:pPr>
    </w:p>
    <w:p>
      <w:pPr>
        <w:adjustRightInd w:val="0"/>
        <w:snapToGrid w:val="0"/>
        <w:spacing w:line="460" w:lineRule="exact"/>
        <w:jc w:val="center"/>
        <w:rPr>
          <w:rFonts w:hint="eastAsia" w:ascii="宋体" w:hAnsi="宋体" w:cs="宋体"/>
          <w:b/>
          <w:color w:val="auto"/>
          <w:spacing w:val="20"/>
          <w:sz w:val="32"/>
          <w:szCs w:val="32"/>
        </w:rPr>
      </w:pPr>
    </w:p>
    <w:p>
      <w:pPr>
        <w:adjustRightInd w:val="0"/>
        <w:snapToGrid w:val="0"/>
        <w:spacing w:line="460" w:lineRule="exact"/>
        <w:jc w:val="center"/>
        <w:rPr>
          <w:rFonts w:hint="eastAsia" w:ascii="宋体" w:hAnsi="宋体" w:cs="宋体"/>
          <w:b/>
          <w:color w:val="auto"/>
          <w:spacing w:val="20"/>
          <w:sz w:val="32"/>
          <w:szCs w:val="32"/>
        </w:rPr>
      </w:pPr>
      <w:r>
        <w:rPr>
          <w:rFonts w:hint="eastAsia" w:ascii="宋体" w:hAnsi="宋体" w:cs="宋体"/>
          <w:b/>
          <w:color w:val="auto"/>
          <w:spacing w:val="20"/>
          <w:sz w:val="32"/>
          <w:szCs w:val="32"/>
        </w:rPr>
        <w:t>目 录</w:t>
      </w:r>
    </w:p>
    <w:p>
      <w:pPr>
        <w:pStyle w:val="32"/>
        <w:tabs>
          <w:tab w:val="right" w:leader="dot" w:pos="10120"/>
        </w:tabs>
        <w:rPr>
          <w:rStyle w:val="61"/>
          <w:b w:val="0"/>
          <w:bCs w:val="0"/>
          <w:color w:val="auto"/>
          <w:sz w:val="28"/>
          <w:highlight w:val="none"/>
        </w:rPr>
      </w:pPr>
    </w:p>
    <w:p>
      <w:pPr>
        <w:spacing w:line="360" w:lineRule="exact"/>
        <w:jc w:val="center"/>
        <w:rPr>
          <w:b/>
          <w:color w:val="auto"/>
          <w:sz w:val="36"/>
        </w:rPr>
      </w:pPr>
    </w:p>
    <w:p>
      <w:pPr>
        <w:pStyle w:val="32"/>
        <w:tabs>
          <w:tab w:val="right" w:leader="dot" w:pos="8296"/>
        </w:tabs>
        <w:spacing w:line="440" w:lineRule="exact"/>
        <w:rPr>
          <w:rFonts w:ascii="宋体" w:hAnsi="宋体"/>
          <w:b/>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TOC \o "1-3" \h \z \u </w:instrText>
      </w:r>
      <w:r>
        <w:rPr>
          <w:rFonts w:hint="eastAsia" w:ascii="宋体" w:hAnsi="宋体" w:cs="宋体"/>
          <w:color w:val="auto"/>
          <w:sz w:val="24"/>
        </w:rPr>
        <w:fldChar w:fldCharType="separate"/>
      </w:r>
      <w:r>
        <w:rPr>
          <w:color w:val="auto"/>
        </w:rPr>
        <w:fldChar w:fldCharType="begin"/>
      </w:r>
      <w:r>
        <w:rPr>
          <w:color w:val="auto"/>
        </w:rPr>
        <w:instrText xml:space="preserve"> HYPERLINK \l "_Toc58430304" </w:instrText>
      </w:r>
      <w:r>
        <w:rPr>
          <w:color w:val="auto"/>
        </w:rPr>
        <w:fldChar w:fldCharType="separate"/>
      </w:r>
      <w:r>
        <w:rPr>
          <w:rStyle w:val="61"/>
          <w:rFonts w:hint="eastAsia" w:ascii="宋体" w:hAnsi="宋体"/>
          <w:b/>
          <w:color w:val="auto"/>
          <w:sz w:val="24"/>
        </w:rPr>
        <w:t>第一章</w:t>
      </w:r>
      <w:r>
        <w:rPr>
          <w:rStyle w:val="61"/>
          <w:rFonts w:ascii="宋体" w:hAnsi="宋体"/>
          <w:b/>
          <w:color w:val="auto"/>
          <w:sz w:val="24"/>
        </w:rPr>
        <w:t xml:space="preserve"> </w:t>
      </w:r>
      <w:r>
        <w:rPr>
          <w:rStyle w:val="61"/>
          <w:rFonts w:hint="eastAsia" w:ascii="宋体" w:hAnsi="宋体"/>
          <w:b/>
          <w:color w:val="auto"/>
          <w:sz w:val="24"/>
          <w:lang w:val="en-US" w:eastAsia="zh-CN"/>
        </w:rPr>
        <w:t>招标</w:t>
      </w:r>
      <w:r>
        <w:rPr>
          <w:rStyle w:val="61"/>
          <w:rFonts w:hint="eastAsia" w:ascii="宋体" w:hAnsi="宋体"/>
          <w:b/>
          <w:color w:val="auto"/>
          <w:sz w:val="24"/>
        </w:rPr>
        <w:t>公告</w:t>
      </w:r>
      <w:r>
        <w:rPr>
          <w:rFonts w:ascii="宋体" w:hAnsi="宋体"/>
          <w:b/>
          <w:color w:val="auto"/>
          <w:sz w:val="24"/>
        </w:rPr>
        <w:tab/>
      </w:r>
      <w:r>
        <w:rPr>
          <w:rFonts w:hint="eastAsia" w:ascii="宋体" w:hAnsi="宋体"/>
          <w:b/>
          <w:color w:val="auto"/>
          <w:sz w:val="24"/>
        </w:rPr>
        <w:t>3</w:t>
      </w:r>
      <w:r>
        <w:rPr>
          <w:rFonts w:hint="eastAsia" w:ascii="宋体" w:hAnsi="宋体"/>
          <w:b/>
          <w:color w:val="auto"/>
          <w:sz w:val="24"/>
        </w:rPr>
        <w:fldChar w:fldCharType="end"/>
      </w:r>
    </w:p>
    <w:p>
      <w:pPr>
        <w:pStyle w:val="32"/>
        <w:tabs>
          <w:tab w:val="right" w:leader="dot" w:pos="8296"/>
        </w:tabs>
        <w:spacing w:line="440" w:lineRule="exact"/>
        <w:rPr>
          <w:rFonts w:ascii="宋体" w:hAnsi="宋体"/>
          <w:b/>
          <w:color w:val="auto"/>
          <w:sz w:val="24"/>
        </w:rPr>
      </w:pPr>
      <w:r>
        <w:rPr>
          <w:color w:val="auto"/>
        </w:rPr>
        <w:fldChar w:fldCharType="begin"/>
      </w:r>
      <w:r>
        <w:rPr>
          <w:color w:val="auto"/>
        </w:rPr>
        <w:instrText xml:space="preserve"> HYPERLINK \l "_Toc58430313" </w:instrText>
      </w:r>
      <w:r>
        <w:rPr>
          <w:color w:val="auto"/>
        </w:rPr>
        <w:fldChar w:fldCharType="separate"/>
      </w:r>
      <w:r>
        <w:rPr>
          <w:rStyle w:val="61"/>
          <w:rFonts w:hint="eastAsia" w:ascii="宋体" w:hAnsi="宋体"/>
          <w:b/>
          <w:color w:val="auto"/>
          <w:sz w:val="24"/>
        </w:rPr>
        <w:t>第二章</w:t>
      </w:r>
      <w:r>
        <w:rPr>
          <w:rStyle w:val="61"/>
          <w:rFonts w:ascii="宋体" w:hAnsi="宋体"/>
          <w:b/>
          <w:color w:val="auto"/>
          <w:sz w:val="24"/>
        </w:rPr>
        <w:t xml:space="preserve"> </w:t>
      </w:r>
      <w:r>
        <w:rPr>
          <w:rStyle w:val="61"/>
          <w:rFonts w:hint="eastAsia" w:ascii="宋体" w:hAnsi="宋体"/>
          <w:b/>
          <w:color w:val="auto"/>
          <w:sz w:val="24"/>
        </w:rPr>
        <w:t>投标人须知前附表</w:t>
      </w:r>
      <w:r>
        <w:rPr>
          <w:rFonts w:ascii="宋体" w:hAnsi="宋体"/>
          <w:b/>
          <w:color w:val="auto"/>
          <w:sz w:val="24"/>
        </w:rPr>
        <w:tab/>
      </w:r>
      <w:r>
        <w:rPr>
          <w:rFonts w:hint="eastAsia" w:ascii="宋体" w:hAnsi="宋体"/>
          <w:b/>
          <w:color w:val="auto"/>
          <w:sz w:val="24"/>
        </w:rPr>
        <w:t>5</w:t>
      </w:r>
      <w:r>
        <w:rPr>
          <w:rFonts w:hint="eastAsia" w:ascii="宋体" w:hAnsi="宋体"/>
          <w:b/>
          <w:color w:val="auto"/>
          <w:sz w:val="24"/>
        </w:rPr>
        <w:fldChar w:fldCharType="end"/>
      </w:r>
    </w:p>
    <w:p>
      <w:pPr>
        <w:pStyle w:val="32"/>
        <w:tabs>
          <w:tab w:val="right" w:leader="dot" w:pos="8296"/>
        </w:tabs>
        <w:spacing w:line="440" w:lineRule="exact"/>
        <w:rPr>
          <w:rFonts w:hint="eastAsia" w:ascii="宋体" w:hAnsi="宋体" w:eastAsia="宋体"/>
          <w:b/>
          <w:color w:val="auto"/>
          <w:sz w:val="24"/>
          <w:lang w:val="en-US" w:eastAsia="zh-CN"/>
        </w:rPr>
      </w:pPr>
      <w:r>
        <w:rPr>
          <w:color w:val="auto"/>
        </w:rPr>
        <w:fldChar w:fldCharType="begin"/>
      </w:r>
      <w:r>
        <w:rPr>
          <w:color w:val="auto"/>
        </w:rPr>
        <w:instrText xml:space="preserve"> HYPERLINK \l "_Toc58430316" </w:instrText>
      </w:r>
      <w:r>
        <w:rPr>
          <w:color w:val="auto"/>
        </w:rPr>
        <w:fldChar w:fldCharType="separate"/>
      </w:r>
      <w:r>
        <w:rPr>
          <w:rStyle w:val="61"/>
          <w:rFonts w:hint="eastAsia" w:ascii="宋体" w:hAnsi="宋体"/>
          <w:b/>
          <w:color w:val="auto"/>
          <w:sz w:val="24"/>
        </w:rPr>
        <w:t>第三章</w:t>
      </w:r>
      <w:r>
        <w:rPr>
          <w:rStyle w:val="61"/>
          <w:rFonts w:ascii="宋体" w:hAnsi="宋体"/>
          <w:b/>
          <w:color w:val="auto"/>
          <w:sz w:val="24"/>
        </w:rPr>
        <w:t xml:space="preserve"> </w:t>
      </w:r>
      <w:r>
        <w:rPr>
          <w:rStyle w:val="61"/>
          <w:rFonts w:hint="eastAsia" w:ascii="宋体" w:hAnsi="宋体"/>
          <w:b/>
          <w:color w:val="auto"/>
          <w:sz w:val="24"/>
        </w:rPr>
        <w:t>评标办法</w:t>
      </w:r>
      <w:r>
        <w:rPr>
          <w:rFonts w:ascii="宋体" w:hAnsi="宋体"/>
          <w:b/>
          <w:color w:val="auto"/>
          <w:sz w:val="24"/>
        </w:rPr>
        <w:tab/>
      </w:r>
      <w:r>
        <w:rPr>
          <w:rFonts w:hint="eastAsia" w:ascii="宋体" w:hAnsi="宋体"/>
          <w:b/>
          <w:color w:val="auto"/>
          <w:sz w:val="24"/>
          <w:lang w:val="en-US" w:eastAsia="zh-CN"/>
        </w:rPr>
        <w:t>1</w:t>
      </w:r>
      <w:r>
        <w:rPr>
          <w:rFonts w:ascii="宋体" w:hAnsi="宋体"/>
          <w:b/>
          <w:color w:val="auto"/>
          <w:sz w:val="24"/>
        </w:rPr>
        <w:fldChar w:fldCharType="end"/>
      </w:r>
      <w:r>
        <w:rPr>
          <w:rFonts w:hint="eastAsia" w:ascii="宋体" w:hAnsi="宋体"/>
          <w:b/>
          <w:color w:val="auto"/>
          <w:sz w:val="24"/>
          <w:lang w:val="en-US" w:eastAsia="zh-CN"/>
        </w:rPr>
        <w:t>3</w:t>
      </w:r>
    </w:p>
    <w:p>
      <w:pPr>
        <w:pStyle w:val="32"/>
        <w:tabs>
          <w:tab w:val="right" w:leader="dot" w:pos="8296"/>
        </w:tabs>
        <w:spacing w:line="440" w:lineRule="exact"/>
        <w:rPr>
          <w:rFonts w:ascii="宋体" w:hAnsi="宋体"/>
          <w:b/>
          <w:color w:val="auto"/>
          <w:sz w:val="24"/>
        </w:rPr>
      </w:pPr>
      <w:r>
        <w:rPr>
          <w:color w:val="auto"/>
        </w:rPr>
        <w:fldChar w:fldCharType="begin"/>
      </w:r>
      <w:r>
        <w:rPr>
          <w:color w:val="auto"/>
        </w:rPr>
        <w:instrText xml:space="preserve"> HYPERLINK \l "_Toc58430328" </w:instrText>
      </w:r>
      <w:r>
        <w:rPr>
          <w:color w:val="auto"/>
        </w:rPr>
        <w:fldChar w:fldCharType="separate"/>
      </w:r>
      <w:r>
        <w:rPr>
          <w:rStyle w:val="61"/>
          <w:rFonts w:hint="eastAsia" w:ascii="宋体" w:hAnsi="宋体"/>
          <w:b/>
          <w:color w:val="auto"/>
          <w:sz w:val="24"/>
        </w:rPr>
        <w:t>第四章</w:t>
      </w:r>
      <w:r>
        <w:rPr>
          <w:rStyle w:val="61"/>
          <w:rFonts w:ascii="宋体" w:hAnsi="宋体"/>
          <w:b/>
          <w:color w:val="auto"/>
          <w:sz w:val="24"/>
        </w:rPr>
        <w:t xml:space="preserve"> </w:t>
      </w:r>
      <w:r>
        <w:rPr>
          <w:rStyle w:val="61"/>
          <w:rFonts w:hint="eastAsia" w:ascii="宋体" w:hAnsi="宋体"/>
          <w:b/>
          <w:color w:val="auto"/>
          <w:sz w:val="24"/>
        </w:rPr>
        <w:t>服务需求</w:t>
      </w:r>
      <w:r>
        <w:rPr>
          <w:rFonts w:ascii="宋体" w:hAnsi="宋体"/>
          <w:b/>
          <w:color w:val="auto"/>
          <w:sz w:val="24"/>
        </w:rPr>
        <w:tab/>
      </w:r>
      <w:r>
        <w:rPr>
          <w:rFonts w:hint="eastAsia" w:ascii="宋体" w:hAnsi="宋体"/>
          <w:b/>
          <w:color w:val="auto"/>
          <w:sz w:val="24"/>
        </w:rPr>
        <w:t>1</w:t>
      </w:r>
      <w:r>
        <w:rPr>
          <w:rFonts w:hint="eastAsia" w:ascii="宋体" w:hAnsi="宋体"/>
          <w:b/>
          <w:color w:val="auto"/>
          <w:sz w:val="24"/>
          <w:lang w:val="en-US" w:eastAsia="zh-CN"/>
        </w:rPr>
        <w:t>9</w:t>
      </w:r>
      <w:r>
        <w:rPr>
          <w:rFonts w:hint="eastAsia" w:ascii="宋体" w:hAnsi="宋体"/>
          <w:b/>
          <w:color w:val="auto"/>
          <w:sz w:val="24"/>
        </w:rPr>
        <w:fldChar w:fldCharType="end"/>
      </w:r>
    </w:p>
    <w:p>
      <w:pPr>
        <w:pStyle w:val="32"/>
        <w:tabs>
          <w:tab w:val="right" w:leader="dot" w:pos="8296"/>
        </w:tabs>
        <w:spacing w:line="440" w:lineRule="exact"/>
        <w:rPr>
          <w:rFonts w:hint="eastAsia" w:ascii="宋体" w:hAnsi="宋体" w:eastAsia="宋体"/>
          <w:b/>
          <w:color w:val="auto"/>
          <w:sz w:val="24"/>
          <w:lang w:val="en-US" w:eastAsia="zh-CN"/>
        </w:rPr>
      </w:pPr>
      <w:r>
        <w:rPr>
          <w:color w:val="auto"/>
        </w:rPr>
        <w:fldChar w:fldCharType="begin"/>
      </w:r>
      <w:r>
        <w:rPr>
          <w:color w:val="auto"/>
        </w:rPr>
        <w:instrText xml:space="preserve"> HYPERLINK \l "_Toc58430329" </w:instrText>
      </w:r>
      <w:r>
        <w:rPr>
          <w:color w:val="auto"/>
        </w:rPr>
        <w:fldChar w:fldCharType="separate"/>
      </w:r>
      <w:r>
        <w:rPr>
          <w:rStyle w:val="61"/>
          <w:rFonts w:hint="eastAsia" w:ascii="宋体" w:hAnsi="宋体"/>
          <w:b/>
          <w:color w:val="auto"/>
          <w:sz w:val="24"/>
        </w:rPr>
        <w:t>第五章</w:t>
      </w:r>
      <w:r>
        <w:rPr>
          <w:rStyle w:val="61"/>
          <w:rFonts w:ascii="宋体" w:hAnsi="宋体"/>
          <w:b/>
          <w:color w:val="auto"/>
          <w:sz w:val="24"/>
        </w:rPr>
        <w:t xml:space="preserve"> </w:t>
      </w:r>
      <w:r>
        <w:rPr>
          <w:rStyle w:val="61"/>
          <w:rFonts w:hint="eastAsia" w:ascii="宋体" w:hAnsi="宋体"/>
          <w:b/>
          <w:color w:val="auto"/>
          <w:sz w:val="24"/>
        </w:rPr>
        <w:t>合同条款及格式</w:t>
      </w:r>
      <w:r>
        <w:rPr>
          <w:rFonts w:ascii="宋体" w:hAnsi="宋体"/>
          <w:b/>
          <w:color w:val="auto"/>
          <w:sz w:val="24"/>
        </w:rPr>
        <w:tab/>
      </w:r>
      <w:r>
        <w:rPr>
          <w:rFonts w:hint="eastAsia" w:ascii="宋体" w:hAnsi="宋体"/>
          <w:b/>
          <w:color w:val="auto"/>
          <w:sz w:val="24"/>
          <w:lang w:val="en-US" w:eastAsia="zh-CN"/>
        </w:rPr>
        <w:t>2</w:t>
      </w:r>
      <w:r>
        <w:rPr>
          <w:rFonts w:hint="eastAsia" w:ascii="宋体" w:hAnsi="宋体"/>
          <w:b/>
          <w:color w:val="auto"/>
          <w:sz w:val="24"/>
        </w:rPr>
        <w:fldChar w:fldCharType="end"/>
      </w:r>
      <w:r>
        <w:rPr>
          <w:rFonts w:hint="eastAsia" w:ascii="宋体" w:hAnsi="宋体"/>
          <w:b/>
          <w:color w:val="auto"/>
          <w:sz w:val="24"/>
          <w:lang w:val="en-US" w:eastAsia="zh-CN"/>
        </w:rPr>
        <w:t>1</w:t>
      </w:r>
    </w:p>
    <w:p>
      <w:pPr>
        <w:pStyle w:val="32"/>
        <w:tabs>
          <w:tab w:val="right" w:leader="dot" w:pos="8296"/>
        </w:tabs>
        <w:spacing w:line="440" w:lineRule="exact"/>
        <w:rPr>
          <w:rFonts w:hint="eastAsia" w:ascii="宋体" w:hAnsi="宋体" w:eastAsia="宋体"/>
          <w:b/>
          <w:color w:val="auto"/>
          <w:sz w:val="24"/>
          <w:lang w:eastAsia="zh-CN"/>
        </w:rPr>
      </w:pPr>
      <w:r>
        <w:rPr>
          <w:color w:val="auto"/>
        </w:rPr>
        <w:fldChar w:fldCharType="begin"/>
      </w:r>
      <w:r>
        <w:rPr>
          <w:color w:val="auto"/>
        </w:rPr>
        <w:instrText xml:space="preserve"> HYPERLINK \l "_Toc58430332" </w:instrText>
      </w:r>
      <w:r>
        <w:rPr>
          <w:color w:val="auto"/>
        </w:rPr>
        <w:fldChar w:fldCharType="separate"/>
      </w:r>
      <w:r>
        <w:rPr>
          <w:rStyle w:val="61"/>
          <w:rFonts w:hint="eastAsia" w:ascii="宋体" w:hAnsi="宋体"/>
          <w:b/>
          <w:color w:val="auto"/>
          <w:sz w:val="24"/>
        </w:rPr>
        <w:t>第六章</w:t>
      </w:r>
      <w:r>
        <w:rPr>
          <w:rStyle w:val="61"/>
          <w:rFonts w:ascii="宋体" w:hAnsi="宋体"/>
          <w:b/>
          <w:color w:val="auto"/>
          <w:sz w:val="24"/>
        </w:rPr>
        <w:t xml:space="preserve"> </w:t>
      </w:r>
      <w:r>
        <w:rPr>
          <w:rStyle w:val="61"/>
          <w:rFonts w:hint="eastAsia" w:ascii="宋体" w:hAnsi="宋体"/>
          <w:b/>
          <w:color w:val="auto"/>
          <w:sz w:val="24"/>
        </w:rPr>
        <w:t>投标文件格式</w:t>
      </w:r>
      <w:r>
        <w:rPr>
          <w:rFonts w:ascii="宋体" w:hAnsi="宋体"/>
          <w:b/>
          <w:color w:val="auto"/>
          <w:sz w:val="24"/>
        </w:rPr>
        <w:tab/>
      </w:r>
      <w:r>
        <w:rPr>
          <w:rFonts w:hint="eastAsia" w:ascii="宋体" w:hAnsi="宋体"/>
          <w:b/>
          <w:color w:val="auto"/>
          <w:sz w:val="24"/>
          <w:lang w:val="en-US" w:eastAsia="zh-CN"/>
        </w:rPr>
        <w:t>2</w:t>
      </w:r>
      <w:r>
        <w:rPr>
          <w:rFonts w:hint="eastAsia" w:ascii="宋体" w:hAnsi="宋体"/>
          <w:b/>
          <w:color w:val="auto"/>
          <w:sz w:val="24"/>
        </w:rPr>
        <w:fldChar w:fldCharType="end"/>
      </w:r>
      <w:r>
        <w:rPr>
          <w:rFonts w:hint="eastAsia" w:ascii="宋体" w:hAnsi="宋体"/>
          <w:b/>
          <w:color w:val="auto"/>
          <w:sz w:val="24"/>
          <w:lang w:val="en-US" w:eastAsia="zh-CN"/>
        </w:rPr>
        <w:t>8</w:t>
      </w:r>
    </w:p>
    <w:p>
      <w:pPr>
        <w:pStyle w:val="32"/>
        <w:tabs>
          <w:tab w:val="right" w:leader="dot" w:pos="8296"/>
        </w:tabs>
        <w:spacing w:line="440" w:lineRule="exact"/>
        <w:rPr>
          <w:rStyle w:val="61"/>
          <w:rFonts w:hint="default" w:ascii="宋体" w:hAnsi="宋体" w:eastAsia="宋体"/>
          <w:b/>
          <w:color w:val="auto"/>
          <w:sz w:val="24"/>
          <w:lang w:val="en-US" w:eastAsia="zh-CN"/>
        </w:rPr>
      </w:pPr>
      <w:r>
        <w:rPr>
          <w:rStyle w:val="61"/>
          <w:rFonts w:hint="eastAsia" w:hAnsi="宋体"/>
          <w:b/>
          <w:color w:val="auto"/>
          <w:sz w:val="24"/>
        </w:rPr>
        <w:t>第七章 采购人、采购代理机构对本招标文件的确认</w:t>
      </w:r>
      <w:r>
        <w:rPr>
          <w:rFonts w:ascii="宋体" w:hAnsi="宋体"/>
          <w:b/>
          <w:color w:val="auto"/>
          <w:sz w:val="24"/>
        </w:rPr>
        <w:tab/>
      </w:r>
      <w:r>
        <w:rPr>
          <w:rStyle w:val="61"/>
          <w:rFonts w:hint="eastAsia" w:hAnsi="宋体"/>
          <w:b/>
          <w:color w:val="auto"/>
          <w:sz w:val="24"/>
          <w:lang w:val="en-US" w:eastAsia="zh-CN"/>
        </w:rPr>
        <w:t>40</w:t>
      </w:r>
    </w:p>
    <w:p>
      <w:pPr>
        <w:rPr>
          <w:rFonts w:ascii="宋体" w:hAnsi="宋体" w:cs="宋体"/>
          <w:bCs/>
          <w:color w:val="auto"/>
          <w:spacing w:val="20"/>
          <w:sz w:val="24"/>
        </w:rPr>
      </w:pPr>
      <w:r>
        <w:rPr>
          <w:rFonts w:hint="eastAsia" w:ascii="宋体" w:hAnsi="宋体" w:cs="宋体"/>
          <w:color w:val="auto"/>
          <w:sz w:val="24"/>
        </w:rPr>
        <w:fldChar w:fldCharType="end"/>
      </w:r>
    </w:p>
    <w:p>
      <w:pPr>
        <w:rPr>
          <w:rFonts w:ascii="宋体" w:hAnsi="宋体" w:cs="宋体"/>
          <w:bCs/>
          <w:color w:val="auto"/>
          <w:sz w:val="24"/>
        </w:rPr>
      </w:pPr>
    </w:p>
    <w:p>
      <w:pPr>
        <w:rPr>
          <w:rFonts w:ascii="宋体" w:hAnsi="宋体" w:cs="宋体"/>
          <w:bCs/>
          <w:color w:val="auto"/>
          <w:sz w:val="24"/>
        </w:rPr>
      </w:pPr>
    </w:p>
    <w:p>
      <w:pPr>
        <w:pStyle w:val="32"/>
        <w:tabs>
          <w:tab w:val="right" w:leader="dot" w:pos="9071"/>
        </w:tabs>
        <w:spacing w:line="360" w:lineRule="auto"/>
        <w:rPr>
          <w:rFonts w:ascii="宋体" w:hAnsi="宋体" w:cs="宋体"/>
          <w:b w:val="0"/>
          <w:color w:val="auto"/>
          <w:szCs w:val="24"/>
        </w:rPr>
      </w:pPr>
    </w:p>
    <w:p>
      <w:pPr>
        <w:rPr>
          <w:rFonts w:ascii="宋体" w:hAnsi="宋体" w:cs="宋体"/>
          <w:bCs/>
          <w:color w:val="auto"/>
          <w:sz w:val="24"/>
        </w:rPr>
      </w:pPr>
    </w:p>
    <w:p>
      <w:pPr>
        <w:spacing w:before="156" w:beforeLines="50" w:after="156" w:afterLines="50"/>
        <w:jc w:val="center"/>
        <w:rPr>
          <w:rFonts w:ascii="宋体" w:hAnsi="宋体" w:cs="宋体"/>
          <w:b/>
          <w:color w:val="auto"/>
          <w:sz w:val="32"/>
          <w:szCs w:val="32"/>
        </w:rPr>
        <w:sectPr>
          <w:footerReference r:id="rId5" w:type="first"/>
          <w:headerReference r:id="rId3" w:type="default"/>
          <w:footerReference r:id="rId4" w:type="default"/>
          <w:pgSz w:w="11907" w:h="16840"/>
          <w:pgMar w:top="1440" w:right="1800" w:bottom="1440" w:left="1800" w:header="680" w:footer="680" w:gutter="0"/>
          <w:cols w:space="720" w:num="1"/>
          <w:titlePg/>
          <w:docGrid w:type="lines" w:linePitch="312" w:charSpace="0"/>
        </w:sectPr>
      </w:pPr>
      <w:bookmarkStart w:id="4" w:name="_Toc20534"/>
      <w:r>
        <w:rPr>
          <w:rFonts w:hint="eastAsia" w:ascii="宋体"/>
          <w:b/>
          <w:color w:val="auto"/>
          <w:sz w:val="28"/>
          <w:szCs w:val="28"/>
        </w:rPr>
        <w:br w:type="page"/>
      </w:r>
    </w:p>
    <w:p>
      <w:pPr>
        <w:spacing w:before="156" w:beforeLines="50" w:after="156" w:afterLines="50" w:line="560" w:lineRule="exact"/>
        <w:jc w:val="center"/>
        <w:outlineLvl w:val="0"/>
        <w:rPr>
          <w:rFonts w:ascii="宋体" w:hAnsi="宋体" w:cs="宋体"/>
          <w:color w:val="auto"/>
          <w:sz w:val="32"/>
          <w:szCs w:val="32"/>
        </w:rPr>
      </w:pPr>
      <w:bookmarkStart w:id="5" w:name="_Toc58430304"/>
      <w:bookmarkStart w:id="6" w:name="_Toc16307"/>
      <w:bookmarkStart w:id="7" w:name="_Toc32457"/>
      <w:r>
        <w:rPr>
          <w:rFonts w:hint="eastAsia" w:ascii="宋体" w:hAnsi="宋体" w:cs="宋体"/>
          <w:b/>
          <w:bCs/>
          <w:color w:val="auto"/>
          <w:kern w:val="44"/>
          <w:sz w:val="32"/>
          <w:szCs w:val="32"/>
        </w:rPr>
        <w:t>第一章</w:t>
      </w:r>
      <w:r>
        <w:rPr>
          <w:rFonts w:hint="eastAsia" w:ascii="宋体" w:hAnsi="宋体" w:cs="宋体"/>
          <w:b/>
          <w:color w:val="auto"/>
          <w:sz w:val="32"/>
          <w:szCs w:val="32"/>
        </w:rPr>
        <w:t xml:space="preserve">  </w:t>
      </w:r>
      <w:r>
        <w:rPr>
          <w:rFonts w:hint="eastAsia" w:ascii="宋体" w:hAnsi="宋体" w:cs="宋体"/>
          <w:b/>
          <w:bCs/>
          <w:color w:val="auto"/>
          <w:kern w:val="44"/>
          <w:sz w:val="32"/>
          <w:szCs w:val="32"/>
        </w:rPr>
        <w:t>滁</w:t>
      </w:r>
      <w:r>
        <w:rPr>
          <w:rFonts w:hint="eastAsia" w:ascii="宋体" w:hAnsi="宋体" w:cs="宋体"/>
          <w:b/>
          <w:bCs/>
          <w:color w:val="auto"/>
          <w:kern w:val="44"/>
          <w:sz w:val="32"/>
          <w:szCs w:val="32"/>
          <w:lang w:eastAsia="zh-CN"/>
        </w:rPr>
        <w:t>州市第二人民医院污水站在线监控设备维护及排污许可证自行监测服务项目</w:t>
      </w:r>
      <w:r>
        <w:rPr>
          <w:rFonts w:hint="eastAsia" w:ascii="宋体" w:hAnsi="宋体" w:cs="宋体"/>
          <w:b/>
          <w:bCs/>
          <w:color w:val="auto"/>
          <w:kern w:val="44"/>
          <w:sz w:val="32"/>
          <w:szCs w:val="32"/>
        </w:rPr>
        <w:t>招标公告</w:t>
      </w:r>
      <w:bookmarkEnd w:id="5"/>
    </w:p>
    <w:p>
      <w:pPr>
        <w:spacing w:line="440" w:lineRule="exact"/>
        <w:ind w:firstLine="482" w:firstLineChars="200"/>
        <w:rPr>
          <w:rFonts w:ascii="宋体" w:hAnsi="宋体" w:cs="宋体"/>
          <w:b/>
          <w:bCs/>
          <w:color w:val="auto"/>
          <w:sz w:val="24"/>
        </w:rPr>
      </w:pPr>
      <w:bookmarkStart w:id="8" w:name="_Toc35393790"/>
      <w:bookmarkStart w:id="9" w:name="_Toc35393621"/>
      <w:bookmarkStart w:id="10" w:name="_Toc28359079"/>
      <w:bookmarkStart w:id="11" w:name="_Toc28359002"/>
      <w:bookmarkStart w:id="12" w:name="_Toc58430305"/>
      <w:bookmarkStart w:id="13" w:name="_Hlk24379207"/>
      <w:r>
        <w:rPr>
          <w:rFonts w:hint="eastAsia" w:ascii="宋体" w:hAnsi="宋体" w:cs="宋体"/>
          <w:b/>
          <w:bCs/>
          <w:color w:val="auto"/>
          <w:sz w:val="24"/>
        </w:rPr>
        <w:t>一、项目基本情况</w:t>
      </w:r>
      <w:bookmarkEnd w:id="8"/>
      <w:bookmarkEnd w:id="9"/>
      <w:bookmarkEnd w:id="10"/>
      <w:bookmarkEnd w:id="11"/>
      <w:bookmarkEnd w:id="12"/>
    </w:p>
    <w:p>
      <w:pPr>
        <w:spacing w:line="440" w:lineRule="exact"/>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滁州市第二人民医院污水站在线监控设备维护及排污许可证自行监测服务项目</w:t>
      </w:r>
    </w:p>
    <w:p>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CZEY-2024016</w:t>
      </w:r>
    </w:p>
    <w:bookmarkEnd w:id="13"/>
    <w:p>
      <w:pPr>
        <w:spacing w:line="440" w:lineRule="exact"/>
        <w:ind w:firstLine="480" w:firstLineChars="200"/>
        <w:rPr>
          <w:rFonts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20</w:t>
      </w:r>
      <w:r>
        <w:rPr>
          <w:rFonts w:hint="eastAsia" w:ascii="宋体" w:hAnsi="宋体" w:cs="宋体"/>
          <w:color w:val="auto"/>
          <w:sz w:val="24"/>
        </w:rPr>
        <w:t>万元</w:t>
      </w:r>
    </w:p>
    <w:p>
      <w:pPr>
        <w:spacing w:line="440" w:lineRule="exact"/>
        <w:ind w:firstLine="480" w:firstLineChars="200"/>
        <w:rPr>
          <w:rFonts w:ascii="宋体" w:hAnsi="宋体" w:cs="宋体"/>
          <w:color w:val="auto"/>
          <w:sz w:val="24"/>
        </w:rPr>
      </w:pPr>
      <w:r>
        <w:rPr>
          <w:rFonts w:hint="eastAsia" w:ascii="宋体" w:hAnsi="宋体" w:cs="宋体"/>
          <w:color w:val="auto"/>
          <w:sz w:val="24"/>
        </w:rPr>
        <w:t>最高限价：</w:t>
      </w:r>
      <w:r>
        <w:rPr>
          <w:rFonts w:hint="eastAsia" w:ascii="宋体" w:hAnsi="宋体" w:cs="宋体"/>
          <w:color w:val="auto"/>
          <w:sz w:val="24"/>
          <w:lang w:val="en-US" w:eastAsia="zh-CN"/>
        </w:rPr>
        <w:t>20</w:t>
      </w:r>
      <w:r>
        <w:rPr>
          <w:rFonts w:hint="eastAsia" w:ascii="宋体" w:hAnsi="宋体" w:cs="宋体"/>
          <w:color w:val="auto"/>
          <w:sz w:val="24"/>
        </w:rPr>
        <w:t>万元，投标人报价高于此限价的，其投标文件按无效标处理（小于等于此报价的为有效报价）</w:t>
      </w:r>
    </w:p>
    <w:p>
      <w:pPr>
        <w:spacing w:line="440" w:lineRule="exact"/>
        <w:ind w:firstLine="480" w:firstLineChars="200"/>
        <w:rPr>
          <w:rFonts w:ascii="宋体" w:hAnsi="宋体" w:cs="宋体"/>
          <w:color w:val="auto"/>
          <w:sz w:val="24"/>
        </w:rPr>
      </w:pPr>
      <w:r>
        <w:rPr>
          <w:rFonts w:hint="eastAsia" w:ascii="宋体" w:hAnsi="宋体" w:cs="宋体"/>
          <w:color w:val="auto"/>
          <w:sz w:val="24"/>
        </w:rPr>
        <w:t>采购需求：详见采购需求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 一年（因污水处理站即将改扩建，最终以实际服务时间结算服务费用）</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本项目不接受联合体投标。</w:t>
      </w:r>
    </w:p>
    <w:p>
      <w:pPr>
        <w:spacing w:line="440" w:lineRule="exact"/>
        <w:ind w:firstLine="482" w:firstLineChars="200"/>
        <w:rPr>
          <w:rFonts w:ascii="宋体" w:hAnsi="宋体" w:cs="宋体"/>
          <w:b/>
          <w:bCs/>
          <w:color w:val="auto"/>
          <w:sz w:val="24"/>
        </w:rPr>
      </w:pPr>
      <w:bookmarkStart w:id="14" w:name="_Toc35393791"/>
      <w:bookmarkStart w:id="15" w:name="_Toc28359080"/>
      <w:bookmarkStart w:id="16" w:name="_Toc28359003"/>
      <w:bookmarkStart w:id="17" w:name="_Toc58430306"/>
      <w:bookmarkStart w:id="18" w:name="_Toc35393622"/>
      <w:r>
        <w:rPr>
          <w:rFonts w:hint="eastAsia" w:ascii="宋体" w:hAnsi="宋体" w:cs="宋体"/>
          <w:b/>
          <w:bCs/>
          <w:color w:val="auto"/>
          <w:sz w:val="24"/>
        </w:rPr>
        <w:t>二、申请人的资格要求</w:t>
      </w:r>
      <w:bookmarkEnd w:id="14"/>
      <w:bookmarkEnd w:id="15"/>
      <w:bookmarkEnd w:id="16"/>
      <w:bookmarkEnd w:id="17"/>
      <w:bookmarkEnd w:id="18"/>
    </w:p>
    <w:p>
      <w:pPr>
        <w:spacing w:line="440" w:lineRule="exact"/>
        <w:ind w:firstLine="480" w:firstLineChars="200"/>
        <w:rPr>
          <w:rFonts w:hint="eastAsia" w:ascii="宋体" w:hAnsi="宋体" w:cs="宋体"/>
          <w:color w:val="auto"/>
          <w:sz w:val="24"/>
        </w:rPr>
      </w:pPr>
      <w:bookmarkStart w:id="19" w:name="_Toc28359004"/>
      <w:bookmarkStart w:id="20" w:name="_Toc28359081"/>
      <w:r>
        <w:rPr>
          <w:rFonts w:hint="eastAsia" w:ascii="宋体" w:hAnsi="宋体" w:cs="宋体"/>
          <w:color w:val="auto"/>
          <w:sz w:val="24"/>
        </w:rPr>
        <w:t>1.满足《中华人民共和国政府采购法》第二十二条规定；</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2.落实政府采购政策需满足的资格要求：无</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3.本项目的特定资格要求：具备环保工程专业承包三级（含）及以上资质</w:t>
      </w:r>
      <w:r>
        <w:rPr>
          <w:rFonts w:hint="eastAsia" w:ascii="宋体" w:hAnsi="宋体" w:cs="宋体"/>
          <w:color w:val="auto"/>
          <w:sz w:val="24"/>
          <w:highlight w:val="none"/>
          <w:lang w:val="en-US" w:eastAsia="zh-CN"/>
        </w:rPr>
        <w:t>的企业</w:t>
      </w:r>
      <w:r>
        <w:rPr>
          <w:rFonts w:hint="eastAsia" w:ascii="宋体" w:hAnsi="宋体" w:cs="宋体"/>
          <w:color w:val="auto"/>
          <w:sz w:val="24"/>
          <w:highlight w:val="none"/>
          <w:lang w:eastAsia="zh-CN"/>
        </w:rPr>
        <w:t>；</w:t>
      </w:r>
    </w:p>
    <w:p>
      <w:pPr>
        <w:spacing w:line="440" w:lineRule="exact"/>
        <w:ind w:firstLine="480" w:firstLineChars="200"/>
        <w:rPr>
          <w:rFonts w:ascii="宋体" w:hAnsi="宋体" w:cs="宋体"/>
          <w:color w:val="auto"/>
          <w:sz w:val="24"/>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.信誉</w:t>
      </w:r>
      <w:r>
        <w:rPr>
          <w:rFonts w:hint="eastAsia" w:ascii="宋体" w:hAnsi="宋体" w:cs="宋体"/>
          <w:color w:val="auto"/>
          <w:sz w:val="24"/>
        </w:rPr>
        <w:t>要求：投标人不得存在以下情形：</w:t>
      </w:r>
    </w:p>
    <w:p>
      <w:pPr>
        <w:spacing w:line="440" w:lineRule="exact"/>
        <w:ind w:firstLine="480" w:firstLineChars="200"/>
        <w:rPr>
          <w:rFonts w:ascii="宋体" w:hAnsi="宋体" w:cs="宋体"/>
          <w:color w:val="auto"/>
          <w:sz w:val="24"/>
        </w:rPr>
      </w:pPr>
      <w:r>
        <w:rPr>
          <w:rFonts w:hint="eastAsia" w:ascii="宋体" w:hAnsi="宋体" w:cs="宋体"/>
          <w:color w:val="auto"/>
          <w:sz w:val="24"/>
        </w:rPr>
        <w:t>①投标人被人民法院列入失信被执行人的；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②投标人或其法定代表人或拟派项目负责人前三年有行贿犯罪行为的；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③投标人被市场监督管理部门列入经营异常名录或者严重违法企业名单的；</w:t>
      </w:r>
    </w:p>
    <w:p>
      <w:pPr>
        <w:spacing w:line="440" w:lineRule="exact"/>
        <w:ind w:firstLine="480" w:firstLineChars="200"/>
        <w:rPr>
          <w:rFonts w:ascii="宋体" w:hAnsi="宋体" w:cs="宋体"/>
          <w:color w:val="auto"/>
          <w:sz w:val="24"/>
        </w:rPr>
      </w:pPr>
      <w:r>
        <w:rPr>
          <w:rFonts w:hint="eastAsia" w:ascii="宋体" w:hAnsi="宋体" w:cs="宋体"/>
          <w:color w:val="auto"/>
          <w:sz w:val="24"/>
        </w:rPr>
        <w:t>④投标人被税务部门列入重大税收违法案件当事人的；</w:t>
      </w:r>
    </w:p>
    <w:p>
      <w:pPr>
        <w:spacing w:line="440" w:lineRule="exact"/>
        <w:ind w:firstLine="480" w:firstLineChars="200"/>
        <w:rPr>
          <w:rFonts w:ascii="宋体" w:hAnsi="宋体" w:cs="宋体"/>
          <w:color w:val="auto"/>
          <w:sz w:val="24"/>
        </w:rPr>
      </w:pPr>
      <w:r>
        <w:rPr>
          <w:rFonts w:hint="eastAsia" w:ascii="宋体" w:hAnsi="宋体" w:cs="宋体"/>
          <w:color w:val="auto"/>
          <w:sz w:val="24"/>
        </w:rPr>
        <w:t>⑤在“信用中国”网站上披露仍在公示期的严重失信行为的。</w:t>
      </w:r>
    </w:p>
    <w:p>
      <w:pPr>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.投标人所属分公司、办事处等分支机构存在第4款信誉要求①-⑤项情形之一的，接受投标人参加本项目。</w:t>
      </w:r>
    </w:p>
    <w:p>
      <w:pPr>
        <w:spacing w:line="440" w:lineRule="exact"/>
        <w:ind w:firstLine="480" w:firstLineChars="200"/>
        <w:rPr>
          <w:rFonts w:ascii="宋体" w:hAnsi="宋体" w:cs="宋体"/>
          <w:color w:val="auto"/>
          <w:sz w:val="24"/>
        </w:rPr>
      </w:pPr>
      <w:r>
        <w:rPr>
          <w:rFonts w:hint="eastAsia" w:ascii="宋体" w:hAnsi="宋体" w:cs="宋体"/>
          <w:color w:val="auto"/>
          <w:sz w:val="24"/>
        </w:rPr>
        <w:t>备注：第</w:t>
      </w:r>
      <w:r>
        <w:rPr>
          <w:rFonts w:hint="eastAsia" w:ascii="宋体" w:hAnsi="宋体" w:cs="宋体"/>
          <w:color w:val="auto"/>
          <w:sz w:val="24"/>
          <w:lang w:val="en-US" w:eastAsia="zh-CN"/>
        </w:rPr>
        <w:t>3、4</w:t>
      </w:r>
      <w:r>
        <w:rPr>
          <w:rFonts w:hint="eastAsia" w:ascii="宋体" w:hAnsi="宋体" w:cs="宋体"/>
          <w:color w:val="auto"/>
          <w:sz w:val="24"/>
        </w:rPr>
        <w:t>条自行查询或承诺。</w:t>
      </w:r>
    </w:p>
    <w:bookmarkEnd w:id="19"/>
    <w:bookmarkEnd w:id="20"/>
    <w:p>
      <w:pPr>
        <w:spacing w:line="440" w:lineRule="exact"/>
        <w:ind w:firstLine="482" w:firstLineChars="200"/>
        <w:rPr>
          <w:rFonts w:ascii="宋体" w:hAnsi="宋体" w:cs="宋体"/>
          <w:b/>
          <w:bCs/>
          <w:color w:val="auto"/>
          <w:sz w:val="24"/>
        </w:rPr>
      </w:pPr>
      <w:bookmarkStart w:id="21" w:name="_Toc28359084"/>
      <w:bookmarkStart w:id="22" w:name="_Toc35393625"/>
      <w:bookmarkStart w:id="23" w:name="_Toc28359007"/>
      <w:bookmarkStart w:id="24" w:name="_Toc58430309"/>
      <w:bookmarkStart w:id="25" w:name="_Toc35393794"/>
      <w:r>
        <w:rPr>
          <w:rFonts w:hint="eastAsia" w:ascii="宋体" w:hAnsi="宋体" w:cs="宋体"/>
          <w:b/>
          <w:bCs/>
          <w:color w:val="auto"/>
          <w:sz w:val="24"/>
        </w:rPr>
        <w:t>三、招标公告发布时间及文件领取方式：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发布时间：2024年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w:t>
      </w:r>
      <w:r>
        <w:rPr>
          <w:rFonts w:hint="eastAsia" w:ascii="宋体" w:hAnsi="宋体" w:cs="宋体"/>
          <w:color w:val="auto"/>
          <w:sz w:val="24"/>
          <w:lang w:val="en-US" w:eastAsia="zh-CN"/>
        </w:rPr>
        <w:t>12</w:t>
      </w:r>
      <w:r>
        <w:rPr>
          <w:rFonts w:hint="eastAsia" w:ascii="宋体" w:hAnsi="宋体" w:cs="宋体"/>
          <w:color w:val="auto"/>
          <w:sz w:val="24"/>
        </w:rPr>
        <w:t>时后</w:t>
      </w:r>
    </w:p>
    <w:p>
      <w:pPr>
        <w:spacing w:line="440" w:lineRule="exact"/>
        <w:ind w:firstLine="480" w:firstLineChars="200"/>
        <w:rPr>
          <w:rFonts w:ascii="宋体" w:hAnsi="宋体" w:cs="宋体"/>
          <w:color w:val="auto"/>
          <w:sz w:val="24"/>
        </w:rPr>
      </w:pPr>
      <w:r>
        <w:rPr>
          <w:rFonts w:hint="eastAsia" w:ascii="宋体" w:hAnsi="宋体" w:cs="宋体"/>
          <w:color w:val="auto"/>
          <w:sz w:val="24"/>
        </w:rPr>
        <w:t>领取方式：滁州市第二人民医院官网，自行下载</w:t>
      </w:r>
    </w:p>
    <w:p>
      <w:pPr>
        <w:spacing w:line="440" w:lineRule="exact"/>
        <w:ind w:firstLine="482" w:firstLineChars="200"/>
        <w:rPr>
          <w:rFonts w:ascii="宋体" w:hAnsi="宋体" w:cs="宋体"/>
          <w:b/>
          <w:bCs/>
          <w:color w:val="auto"/>
          <w:sz w:val="24"/>
        </w:rPr>
      </w:pPr>
      <w:bookmarkStart w:id="26" w:name="_Toc28359082"/>
      <w:bookmarkStart w:id="27" w:name="_Toc28359005"/>
      <w:bookmarkStart w:id="28" w:name="_Toc58430308"/>
      <w:bookmarkStart w:id="29" w:name="_Toc35393793"/>
      <w:bookmarkStart w:id="30" w:name="_Toc35393624"/>
      <w:r>
        <w:rPr>
          <w:rFonts w:hint="eastAsia" w:ascii="宋体" w:hAnsi="宋体" w:cs="宋体"/>
          <w:b/>
          <w:bCs/>
          <w:color w:val="auto"/>
          <w:sz w:val="24"/>
        </w:rPr>
        <w:t>四、投标文件递交</w:t>
      </w:r>
      <w:bookmarkEnd w:id="26"/>
      <w:bookmarkEnd w:id="27"/>
      <w:r>
        <w:rPr>
          <w:rFonts w:hint="eastAsia" w:ascii="宋体" w:hAnsi="宋体" w:cs="宋体"/>
          <w:b/>
          <w:bCs/>
          <w:color w:val="auto"/>
          <w:sz w:val="24"/>
        </w:rPr>
        <w:t>截止时间、开标时间和地点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2024年</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月</w:t>
      </w:r>
      <w:r>
        <w:rPr>
          <w:rFonts w:hint="eastAsia" w:ascii="宋体" w:hAnsi="宋体" w:cs="宋体"/>
          <w:b/>
          <w:bCs/>
          <w:color w:val="auto"/>
          <w:sz w:val="24"/>
          <w:szCs w:val="24"/>
          <w:lang w:val="en-US" w:eastAsia="zh-CN"/>
        </w:rPr>
        <w:t>29</w:t>
      </w:r>
      <w:r>
        <w:rPr>
          <w:rFonts w:hint="eastAsia" w:ascii="宋体" w:hAnsi="宋体" w:eastAsia="宋体" w:cs="宋体"/>
          <w:b/>
          <w:bCs/>
          <w:color w:val="auto"/>
          <w:sz w:val="24"/>
          <w:szCs w:val="24"/>
          <w:lang w:eastAsia="zh-CN"/>
        </w:rPr>
        <w:t>日</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lang w:eastAsia="zh-CN"/>
        </w:rPr>
        <w:t>时</w:t>
      </w:r>
      <w:r>
        <w:rPr>
          <w:rFonts w:hint="eastAsia" w:ascii="宋体" w:hAnsi="宋体" w:eastAsia="宋体" w:cs="宋体"/>
          <w:b/>
          <w:bCs/>
          <w:color w:val="auto"/>
          <w:sz w:val="24"/>
          <w:szCs w:val="24"/>
          <w:lang w:val="en-US" w:eastAsia="zh-CN"/>
        </w:rPr>
        <w:t>00</w:t>
      </w:r>
      <w:r>
        <w:rPr>
          <w:rFonts w:hint="eastAsia" w:ascii="宋体" w:hAnsi="宋体" w:eastAsia="宋体" w:cs="宋体"/>
          <w:b/>
          <w:bCs/>
          <w:color w:val="auto"/>
          <w:sz w:val="24"/>
          <w:szCs w:val="24"/>
          <w:lang w:eastAsia="zh-CN"/>
        </w:rPr>
        <w:t>分</w:t>
      </w:r>
      <w:r>
        <w:rPr>
          <w:rFonts w:hint="eastAsia" w:ascii="宋体" w:hAnsi="宋体" w:eastAsia="宋体" w:cs="宋体"/>
          <w:b/>
          <w:bCs/>
          <w:color w:val="auto"/>
          <w:sz w:val="24"/>
          <w:szCs w:val="24"/>
          <w:lang w:val="en-US" w:eastAsia="zh-CN"/>
        </w:rPr>
        <w:t>前</w:t>
      </w:r>
      <w:r>
        <w:rPr>
          <w:rFonts w:hint="eastAsia" w:ascii="宋体" w:hAnsi="宋体" w:eastAsia="宋体" w:cs="宋体"/>
          <w:b/>
          <w:bCs/>
          <w:color w:val="auto"/>
          <w:sz w:val="24"/>
          <w:szCs w:val="24"/>
          <w:lang w:eastAsia="zh-CN"/>
        </w:rPr>
        <w:t>(北京时间)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注：各投标人可以采用直接送达或邮寄的方式，递交时间以直接送达或快递送达的时间为准，逾期不予接收。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lang w:val="en-US" w:eastAsia="zh-CN"/>
        </w:rPr>
        <w:t>滁州市第二人民医院西区至善楼三楼第三会议室</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五、公告期限</w:t>
      </w:r>
      <w:bookmarkEnd w:id="21"/>
      <w:bookmarkEnd w:id="22"/>
      <w:bookmarkEnd w:id="23"/>
      <w:bookmarkEnd w:id="24"/>
      <w:bookmarkEnd w:id="25"/>
    </w:p>
    <w:p>
      <w:pPr>
        <w:spacing w:line="440" w:lineRule="exact"/>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六、投标保证金金额及缴纳账户</w:t>
      </w:r>
    </w:p>
    <w:p>
      <w:pPr>
        <w:spacing w:line="440" w:lineRule="exact"/>
        <w:ind w:firstLine="480" w:firstLineChars="200"/>
        <w:rPr>
          <w:rFonts w:hint="eastAsia" w:ascii="宋体" w:hAnsi="宋体" w:cs="宋体"/>
          <w:color w:val="auto"/>
          <w:sz w:val="24"/>
          <w:lang w:val="en-US" w:eastAsia="zh-CN"/>
        </w:rPr>
      </w:pPr>
      <w:bookmarkStart w:id="31" w:name="_Toc58430312"/>
      <w:r>
        <w:rPr>
          <w:rFonts w:hint="eastAsia" w:ascii="宋体" w:hAnsi="宋体" w:cs="宋体"/>
          <w:color w:val="auto"/>
          <w:sz w:val="24"/>
          <w:lang w:val="en-US" w:eastAsia="zh-CN"/>
        </w:rPr>
        <w:t>不要求</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七、对本次招标提出询问，请按以下方式联系</w:t>
      </w:r>
      <w:bookmarkEnd w:id="31"/>
    </w:p>
    <w:p>
      <w:pPr>
        <w:spacing w:line="440" w:lineRule="exact"/>
        <w:ind w:firstLine="480" w:firstLineChars="200"/>
        <w:rPr>
          <w:rFonts w:ascii="宋体" w:hAnsi="宋体" w:cs="宋体"/>
          <w:color w:val="auto"/>
          <w:sz w:val="24"/>
        </w:rPr>
      </w:pPr>
      <w:r>
        <w:rPr>
          <w:rFonts w:hint="eastAsia" w:ascii="宋体" w:hAnsi="宋体" w:cs="宋体"/>
          <w:color w:val="auto"/>
          <w:sz w:val="24"/>
        </w:rPr>
        <w:t>1.采购人信息</w:t>
      </w:r>
    </w:p>
    <w:p>
      <w:pPr>
        <w:spacing w:line="440" w:lineRule="exact"/>
        <w:ind w:firstLine="480" w:firstLineChars="200"/>
        <w:rPr>
          <w:rFonts w:ascii="宋体" w:hAnsi="宋体" w:cs="宋体"/>
          <w:color w:val="auto"/>
          <w:sz w:val="24"/>
        </w:rPr>
      </w:pPr>
      <w:r>
        <w:rPr>
          <w:rFonts w:hint="eastAsia" w:ascii="宋体" w:hAnsi="宋体" w:cs="宋体"/>
          <w:color w:val="auto"/>
          <w:sz w:val="24"/>
        </w:rPr>
        <w:t>名    称：滁州市第二人民医院（市传染病医院、市精神病医院）</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址：滁州市清流中路1401号</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2" w:name="_Toc28359009"/>
      <w:bookmarkStart w:id="33" w:name="_Toc28359086"/>
      <w:r>
        <w:rPr>
          <w:rFonts w:hint="eastAsia" w:ascii="宋体" w:hAnsi="宋体" w:cs="宋体"/>
          <w:color w:val="auto"/>
          <w:sz w:val="24"/>
        </w:rPr>
        <w:t xml:space="preserve">方凯0550-3523822 </w:t>
      </w:r>
    </w:p>
    <w:p>
      <w:pPr>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bookmarkEnd w:id="32"/>
      <w:bookmarkEnd w:id="33"/>
    </w:p>
    <w:p>
      <w:pPr>
        <w:spacing w:line="440" w:lineRule="exact"/>
        <w:ind w:firstLine="480" w:firstLineChars="200"/>
        <w:rPr>
          <w:rFonts w:ascii="宋体" w:hAnsi="宋体" w:cs="宋体"/>
          <w:color w:val="auto"/>
          <w:sz w:val="24"/>
        </w:rPr>
      </w:pPr>
      <w:r>
        <w:rPr>
          <w:rFonts w:hint="eastAsia" w:ascii="宋体" w:hAnsi="宋体" w:cs="宋体"/>
          <w:color w:val="auto"/>
          <w:sz w:val="24"/>
        </w:rPr>
        <w:t>名    称：江苏川页工程项目管理有限公司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地  　址：滁州市世贸大厦A座18楼1818室</w:t>
      </w:r>
    </w:p>
    <w:p>
      <w:pPr>
        <w:spacing w:line="440" w:lineRule="exact"/>
        <w:ind w:firstLine="480" w:firstLineChars="200"/>
        <w:rPr>
          <w:rFonts w:ascii="宋体" w:hAnsi="宋体" w:cs="宋体"/>
          <w:color w:val="auto"/>
          <w:sz w:val="24"/>
        </w:rPr>
      </w:pPr>
      <w:r>
        <w:rPr>
          <w:rFonts w:hint="eastAsia" w:ascii="宋体" w:hAnsi="宋体" w:cs="宋体"/>
          <w:color w:val="auto"/>
          <w:sz w:val="24"/>
        </w:rPr>
        <w:t>联系方式：</w:t>
      </w:r>
      <w:bookmarkStart w:id="34" w:name="_Toc28359010"/>
      <w:bookmarkStart w:id="35" w:name="_Toc28359087"/>
      <w:r>
        <w:rPr>
          <w:rFonts w:hint="eastAsia" w:ascii="宋体" w:hAnsi="宋体" w:cs="宋体"/>
          <w:color w:val="auto"/>
          <w:sz w:val="24"/>
        </w:rPr>
        <w:t>赵建飞18755018236</w:t>
      </w:r>
    </w:p>
    <w:p>
      <w:pPr>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bookmarkEnd w:id="34"/>
      <w:bookmarkEnd w:id="35"/>
    </w:p>
    <w:p>
      <w:pPr>
        <w:spacing w:line="440" w:lineRule="exact"/>
        <w:ind w:firstLine="480" w:firstLineChars="200"/>
        <w:rPr>
          <w:rFonts w:ascii="宋体" w:hAnsi="宋体" w:cs="宋体"/>
          <w:color w:val="auto"/>
          <w:sz w:val="24"/>
        </w:rPr>
      </w:pPr>
      <w:r>
        <w:rPr>
          <w:rFonts w:hint="eastAsia" w:ascii="宋体" w:hAnsi="宋体" w:cs="宋体"/>
          <w:color w:val="auto"/>
          <w:sz w:val="24"/>
        </w:rPr>
        <w:t>项目联系人：方凯、赵建飞</w:t>
      </w:r>
    </w:p>
    <w:p>
      <w:pPr>
        <w:spacing w:line="440" w:lineRule="exact"/>
        <w:ind w:firstLine="480" w:firstLineChars="200"/>
        <w:rPr>
          <w:rFonts w:ascii="宋体" w:hAnsi="宋体" w:cs="宋体"/>
          <w:color w:val="auto"/>
          <w:sz w:val="24"/>
        </w:rPr>
      </w:pPr>
      <w:r>
        <w:rPr>
          <w:rFonts w:hint="eastAsia" w:ascii="宋体" w:hAnsi="宋体" w:cs="宋体"/>
          <w:color w:val="auto"/>
          <w:sz w:val="24"/>
        </w:rPr>
        <w:t>电　  话：0550-3523822 、18755018236</w:t>
      </w: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ind w:firstLine="480" w:firstLineChars="200"/>
        <w:rPr>
          <w:rFonts w:ascii="宋体" w:hAnsi="宋体" w:cs="宋体"/>
          <w:color w:val="auto"/>
          <w:sz w:val="24"/>
        </w:rPr>
      </w:pPr>
    </w:p>
    <w:p>
      <w:pPr>
        <w:spacing w:line="440" w:lineRule="exact"/>
        <w:rPr>
          <w:rFonts w:ascii="宋体" w:hAnsi="宋体" w:cs="宋体"/>
          <w:color w:val="auto"/>
          <w:sz w:val="24"/>
        </w:rPr>
      </w:pPr>
    </w:p>
    <w:p>
      <w:pPr>
        <w:spacing w:before="156" w:beforeLines="50" w:after="156" w:afterLines="50"/>
        <w:jc w:val="center"/>
        <w:outlineLvl w:val="0"/>
        <w:rPr>
          <w:rFonts w:hint="eastAsia" w:ascii="宋体"/>
          <w:b/>
          <w:color w:val="auto"/>
          <w:sz w:val="32"/>
          <w:szCs w:val="32"/>
        </w:rPr>
      </w:pPr>
      <w:bookmarkStart w:id="36" w:name="_Toc58430313"/>
    </w:p>
    <w:p>
      <w:pPr>
        <w:pStyle w:val="2"/>
        <w:rPr>
          <w:rFonts w:hint="eastAsia" w:ascii="宋体"/>
          <w:b/>
          <w:color w:val="auto"/>
          <w:sz w:val="32"/>
          <w:szCs w:val="32"/>
        </w:rPr>
      </w:pPr>
    </w:p>
    <w:p>
      <w:pPr>
        <w:pStyle w:val="6"/>
        <w:rPr>
          <w:rFonts w:hint="eastAsia"/>
        </w:rPr>
      </w:pPr>
    </w:p>
    <w:p>
      <w:pPr>
        <w:spacing w:before="156" w:beforeLines="50" w:after="156" w:afterLines="50"/>
        <w:jc w:val="center"/>
        <w:outlineLvl w:val="0"/>
        <w:rPr>
          <w:rFonts w:ascii="宋体"/>
          <w:b/>
          <w:color w:val="auto"/>
          <w:sz w:val="32"/>
          <w:szCs w:val="32"/>
        </w:rPr>
      </w:pPr>
      <w:r>
        <w:rPr>
          <w:rFonts w:hint="eastAsia" w:ascii="宋体"/>
          <w:b/>
          <w:color w:val="auto"/>
          <w:sz w:val="32"/>
          <w:szCs w:val="32"/>
        </w:rPr>
        <w:t>第二章 投标人须知</w:t>
      </w:r>
      <w:bookmarkEnd w:id="36"/>
    </w:p>
    <w:p>
      <w:pPr>
        <w:snapToGrid w:val="0"/>
        <w:spacing w:line="500" w:lineRule="exact"/>
        <w:jc w:val="center"/>
        <w:outlineLvl w:val="1"/>
        <w:rPr>
          <w:rFonts w:ascii="宋体"/>
          <w:b/>
          <w:color w:val="auto"/>
          <w:sz w:val="28"/>
          <w:szCs w:val="28"/>
        </w:rPr>
      </w:pPr>
      <w:bookmarkStart w:id="37" w:name="_Toc58430314"/>
      <w:bookmarkStart w:id="38" w:name="_Toc449028865"/>
      <w:r>
        <w:rPr>
          <w:rFonts w:hint="eastAsia" w:ascii="宋体"/>
          <w:b/>
          <w:color w:val="auto"/>
          <w:sz w:val="32"/>
          <w:szCs w:val="32"/>
        </w:rPr>
        <w:t>一、</w:t>
      </w:r>
      <w:r>
        <w:rPr>
          <w:rFonts w:hint="eastAsia" w:ascii="宋体"/>
          <w:b/>
          <w:color w:val="auto"/>
          <w:sz w:val="28"/>
          <w:szCs w:val="28"/>
        </w:rPr>
        <w:t>投标人须知前附表</w:t>
      </w:r>
      <w:bookmarkEnd w:id="37"/>
      <w:bookmarkEnd w:id="38"/>
    </w:p>
    <w:tbl>
      <w:tblPr>
        <w:tblStyle w:val="50"/>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5"/>
              <w:spacing w:line="360" w:lineRule="exact"/>
              <w:jc w:val="center"/>
              <w:rPr>
                <w:rFonts w:ascii="宋体" w:hAnsi="宋体" w:cs="宋体"/>
                <w:b/>
                <w:color w:val="auto"/>
                <w:szCs w:val="21"/>
              </w:rPr>
            </w:pPr>
            <w:r>
              <w:rPr>
                <w:rFonts w:hint="eastAsia" w:ascii="宋体" w:hAnsi="宋体" w:cs="宋体"/>
                <w:b/>
                <w:color w:val="auto"/>
                <w:szCs w:val="21"/>
              </w:rPr>
              <w:t>序号</w:t>
            </w:r>
          </w:p>
        </w:tc>
        <w:tc>
          <w:tcPr>
            <w:tcW w:w="2400" w:type="dxa"/>
            <w:vAlign w:val="center"/>
          </w:tcPr>
          <w:p>
            <w:pPr>
              <w:pStyle w:val="25"/>
              <w:spacing w:line="360" w:lineRule="exact"/>
              <w:jc w:val="center"/>
              <w:rPr>
                <w:rFonts w:ascii="宋体" w:hAnsi="宋体" w:cs="宋体"/>
                <w:b/>
                <w:color w:val="auto"/>
                <w:szCs w:val="21"/>
              </w:rPr>
            </w:pPr>
            <w:r>
              <w:rPr>
                <w:rFonts w:hint="eastAsia" w:ascii="宋体" w:hAnsi="宋体" w:cs="宋体"/>
                <w:b/>
                <w:color w:val="auto"/>
                <w:szCs w:val="21"/>
              </w:rPr>
              <w:t>内容</w:t>
            </w:r>
          </w:p>
        </w:tc>
        <w:tc>
          <w:tcPr>
            <w:tcW w:w="7127" w:type="dxa"/>
            <w:vAlign w:val="center"/>
          </w:tcPr>
          <w:p>
            <w:pPr>
              <w:pStyle w:val="25"/>
              <w:spacing w:line="360" w:lineRule="exact"/>
              <w:jc w:val="center"/>
              <w:rPr>
                <w:rFonts w:ascii="宋体" w:hAnsi="宋体" w:cs="宋体"/>
                <w:b/>
                <w:color w:val="auto"/>
                <w:szCs w:val="21"/>
              </w:rPr>
            </w:pPr>
            <w:r>
              <w:rPr>
                <w:rFonts w:hint="eastAsia" w:ascii="宋体" w:hAnsi="宋体" w:cs="宋体"/>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项目名称</w:t>
            </w:r>
          </w:p>
        </w:tc>
        <w:tc>
          <w:tcPr>
            <w:tcW w:w="7127" w:type="dxa"/>
            <w:vAlign w:val="center"/>
          </w:tcPr>
          <w:p>
            <w:pPr>
              <w:pStyle w:val="25"/>
              <w:spacing w:line="360" w:lineRule="exact"/>
              <w:rPr>
                <w:rFonts w:hint="eastAsia" w:ascii="宋体" w:hAnsi="宋体" w:eastAsia="宋体" w:cs="宋体"/>
                <w:color w:val="auto"/>
                <w:szCs w:val="21"/>
                <w:lang w:eastAsia="zh-CN"/>
              </w:rPr>
            </w:pPr>
            <w:r>
              <w:rPr>
                <w:rFonts w:hint="eastAsia" w:ascii="宋体" w:hAnsi="宋体" w:cs="宋体"/>
                <w:color w:val="auto"/>
                <w:szCs w:val="21"/>
              </w:rPr>
              <w:t>滁</w:t>
            </w:r>
            <w:r>
              <w:rPr>
                <w:rFonts w:hint="eastAsia" w:ascii="宋体" w:hAnsi="宋体" w:cs="宋体"/>
                <w:color w:val="auto"/>
                <w:szCs w:val="21"/>
                <w:lang w:eastAsia="zh-CN"/>
              </w:rPr>
              <w:t>州市第二人民医院污水站在线监控设备维护及排污许可证自行监测服务项目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5"/>
              <w:numPr>
                <w:ilvl w:val="0"/>
                <w:numId w:val="1"/>
              </w:numPr>
              <w:spacing w:line="360" w:lineRule="exact"/>
              <w:jc w:val="center"/>
              <w:rPr>
                <w:rFonts w:ascii="宋体" w:hAnsi="宋体" w:cs="宋体"/>
                <w:b/>
                <w:bCs/>
                <w:color w:val="auto"/>
                <w:szCs w:val="21"/>
                <w:highlight w:val="none"/>
              </w:rPr>
            </w:pPr>
          </w:p>
        </w:tc>
        <w:tc>
          <w:tcPr>
            <w:tcW w:w="2400" w:type="dxa"/>
            <w:vAlign w:val="center"/>
          </w:tcPr>
          <w:p>
            <w:pPr>
              <w:pStyle w:val="25"/>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服务期</w:t>
            </w:r>
          </w:p>
        </w:tc>
        <w:tc>
          <w:tcPr>
            <w:tcW w:w="7127" w:type="dxa"/>
            <w:vAlign w:val="center"/>
          </w:tcPr>
          <w:p>
            <w:pPr>
              <w:pStyle w:val="25"/>
              <w:spacing w:line="36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 xml:space="preserve"> 一年（因污水处理站即将改扩建，最终以实际服务时间结算服务费用）</w:t>
            </w:r>
            <w:r>
              <w:rPr>
                <w:rFonts w:hint="eastAsia" w:ascii="宋体" w:hAnsi="宋体" w:cs="宋体"/>
                <w:b/>
                <w:bCs/>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服务地点</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采购人联系人及电话</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 xml:space="preserve">方凯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采购代理机构联系人及电话</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 xml:space="preserve">资金来源                                                                                                                                                                 </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采购预算</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b/>
                <w:color w:val="auto"/>
                <w:kern w:val="0"/>
                <w:szCs w:val="21"/>
                <w:lang w:val="en-US" w:eastAsia="zh-CN"/>
              </w:rPr>
              <w:t>20</w:t>
            </w:r>
            <w:r>
              <w:rPr>
                <w:rFonts w:hint="eastAsia" w:ascii="宋体" w:hAnsi="宋体" w:cs="宋体"/>
                <w:b/>
                <w:color w:val="auto"/>
                <w:kern w:val="0"/>
                <w:szCs w:val="21"/>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5"/>
              <w:numPr>
                <w:ilvl w:val="0"/>
                <w:numId w:val="1"/>
              </w:numPr>
              <w:spacing w:line="360" w:lineRule="exact"/>
              <w:jc w:val="center"/>
              <w:rPr>
                <w:rFonts w:ascii="宋体" w:hAnsi="宋体" w:cs="宋体"/>
                <w:b/>
                <w:bCs/>
                <w:color w:val="auto"/>
                <w:szCs w:val="21"/>
              </w:rPr>
            </w:pPr>
          </w:p>
        </w:tc>
        <w:tc>
          <w:tcPr>
            <w:tcW w:w="2400" w:type="dxa"/>
            <w:vAlign w:val="center"/>
          </w:tcPr>
          <w:p>
            <w:pPr>
              <w:pStyle w:val="25"/>
              <w:spacing w:line="360" w:lineRule="exact"/>
              <w:jc w:val="left"/>
              <w:rPr>
                <w:rFonts w:ascii="宋体" w:hAnsi="宋体" w:cs="宋体"/>
                <w:b/>
                <w:bCs/>
                <w:color w:val="auto"/>
                <w:szCs w:val="21"/>
              </w:rPr>
            </w:pPr>
            <w:r>
              <w:rPr>
                <w:rFonts w:hint="eastAsia" w:ascii="宋体" w:hAnsi="宋体" w:cs="宋体"/>
                <w:b/>
                <w:bCs/>
                <w:color w:val="auto"/>
                <w:szCs w:val="21"/>
              </w:rPr>
              <w:t>最高限价</w:t>
            </w:r>
          </w:p>
        </w:tc>
        <w:tc>
          <w:tcPr>
            <w:tcW w:w="7127" w:type="dxa"/>
            <w:vAlign w:val="center"/>
          </w:tcPr>
          <w:p>
            <w:pPr>
              <w:pStyle w:val="2"/>
              <w:spacing w:after="0" w:line="360" w:lineRule="exact"/>
              <w:ind w:left="0" w:leftChars="0" w:firstLine="0" w:firstLineChars="0"/>
              <w:rPr>
                <w:rFonts w:ascii="宋体" w:hAnsi="宋体" w:cs="宋体"/>
                <w:b/>
                <w:bCs/>
                <w:color w:val="auto"/>
                <w:kern w:val="0"/>
                <w:szCs w:val="21"/>
              </w:rPr>
            </w:pPr>
            <w:r>
              <w:rPr>
                <w:rFonts w:hint="eastAsia" w:ascii="宋体" w:hAnsi="宋体" w:cs="宋体"/>
                <w:b/>
                <w:bCs/>
                <w:color w:val="auto"/>
                <w:kern w:val="0"/>
                <w:szCs w:val="21"/>
                <w:lang w:val="en-US" w:eastAsia="zh-CN"/>
              </w:rPr>
              <w:t>20</w:t>
            </w:r>
            <w:r>
              <w:rPr>
                <w:rFonts w:hint="eastAsia" w:ascii="宋体" w:hAnsi="宋体" w:cs="宋体"/>
                <w:b/>
                <w:bCs/>
                <w:color w:val="auto"/>
                <w:kern w:val="0"/>
                <w:szCs w:val="21"/>
              </w:rPr>
              <w:t>万元，各单位投标总报价不得高于最高限价，否则其投标文件按无效标处理。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采购内容</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本项目采购内容包括：详见《采购需求》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标包划分</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本项目划分为</w:t>
            </w:r>
            <w:r>
              <w:rPr>
                <w:rFonts w:hint="eastAsia" w:ascii="宋体" w:hAnsi="宋体" w:cs="宋体"/>
                <w:color w:val="auto"/>
                <w:szCs w:val="21"/>
                <w:u w:val="single"/>
              </w:rPr>
              <w:t>壹</w:t>
            </w:r>
            <w:r>
              <w:rPr>
                <w:rFonts w:hint="eastAsia" w:ascii="宋体" w:hAnsi="宋体" w:cs="宋体"/>
                <w:color w:val="auto"/>
                <w:szCs w:val="21"/>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招标方式</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投标人资格条件及其他要求</w:t>
            </w:r>
          </w:p>
        </w:tc>
        <w:tc>
          <w:tcPr>
            <w:tcW w:w="7127" w:type="dxa"/>
            <w:vAlign w:val="center"/>
          </w:tcPr>
          <w:p>
            <w:pPr>
              <w:spacing w:line="360" w:lineRule="exact"/>
              <w:jc w:val="left"/>
              <w:rPr>
                <w:rFonts w:ascii="宋体" w:hAnsi="宋体" w:cs="宋体"/>
                <w:color w:val="auto"/>
                <w:szCs w:val="21"/>
              </w:rPr>
            </w:pPr>
            <w:r>
              <w:rPr>
                <w:rFonts w:hint="eastAsia" w:ascii="宋体" w:hAnsi="宋体" w:cs="宋体"/>
                <w:bCs/>
                <w:color w:val="auto"/>
                <w:szCs w:val="21"/>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踏勘现场</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投标预备会</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投标人提出</w:t>
            </w:r>
            <w:r>
              <w:rPr>
                <w:rFonts w:hint="eastAsia" w:ascii="宋体" w:hAnsi="宋体" w:cs="宋体"/>
                <w:color w:val="auto"/>
                <w:szCs w:val="21"/>
                <w:u w:val="single"/>
              </w:rPr>
              <w:t>质疑</w:t>
            </w:r>
            <w:r>
              <w:rPr>
                <w:rFonts w:hint="eastAsia" w:ascii="宋体" w:hAnsi="宋体" w:cs="宋体"/>
                <w:color w:val="auto"/>
                <w:szCs w:val="21"/>
              </w:rPr>
              <w:t>的截止时间及方式</w:t>
            </w:r>
          </w:p>
        </w:tc>
        <w:tc>
          <w:tcPr>
            <w:tcW w:w="7127"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如投标人对招标文件有疑问，请于 2024年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采购人澄清的时间及方式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bCs/>
                <w:color w:val="auto"/>
                <w:szCs w:val="21"/>
              </w:rPr>
              <w:t>2024年</w:t>
            </w:r>
            <w:r>
              <w:rPr>
                <w:rFonts w:hint="eastAsia" w:ascii="宋体" w:hAnsi="宋体" w:cs="宋体"/>
                <w:bCs/>
                <w:color w:val="auto"/>
                <w:szCs w:val="21"/>
                <w:lang w:val="en-US" w:eastAsia="zh-CN"/>
              </w:rPr>
              <w:t>3</w:t>
            </w:r>
            <w:r>
              <w:rPr>
                <w:rFonts w:hint="eastAsia" w:ascii="宋体" w:hAnsi="宋体" w:cs="宋体"/>
                <w:bCs/>
                <w:color w:val="auto"/>
                <w:szCs w:val="21"/>
              </w:rPr>
              <w:t>月</w:t>
            </w:r>
            <w:r>
              <w:rPr>
                <w:rFonts w:hint="eastAsia" w:ascii="宋体" w:hAnsi="宋体" w:cs="宋体"/>
                <w:bCs/>
                <w:color w:val="auto"/>
                <w:szCs w:val="21"/>
                <w:lang w:val="en-US" w:eastAsia="zh-CN"/>
              </w:rPr>
              <w:t>27</w:t>
            </w:r>
            <w:bookmarkStart w:id="714" w:name="_GoBack"/>
            <w:bookmarkEnd w:id="714"/>
            <w:r>
              <w:rPr>
                <w:rFonts w:hint="eastAsia" w:ascii="宋体" w:hAnsi="宋体" w:cs="宋体"/>
                <w:bCs/>
                <w:color w:val="auto"/>
                <w:szCs w:val="21"/>
              </w:rPr>
              <w:t>日17时</w:t>
            </w:r>
            <w:r>
              <w:rPr>
                <w:rFonts w:hint="eastAsia" w:ascii="宋体" w:hAnsi="宋体" w:cs="宋体"/>
                <w:color w:val="auto"/>
                <w:szCs w:val="21"/>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联合体投标</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本次招标☑</w:t>
            </w:r>
            <w:r>
              <w:rPr>
                <w:rFonts w:hint="eastAsia" w:ascii="宋体" w:hAnsi="宋体" w:cs="宋体"/>
                <w:color w:val="auto"/>
                <w:szCs w:val="21"/>
                <w:u w:val="single"/>
              </w:rPr>
              <w:t>不接受</w:t>
            </w:r>
            <w:r>
              <w:rPr>
                <w:rFonts w:hint="eastAsia" w:ascii="宋体" w:hAnsi="宋体" w:cs="宋体"/>
                <w:color w:val="auto"/>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招标代理费</w:t>
            </w:r>
          </w:p>
        </w:tc>
        <w:tc>
          <w:tcPr>
            <w:tcW w:w="7127" w:type="dxa"/>
            <w:vAlign w:val="center"/>
          </w:tcPr>
          <w:p>
            <w:pPr>
              <w:spacing w:line="360" w:lineRule="exact"/>
              <w:jc w:val="left"/>
              <w:rPr>
                <w:rFonts w:ascii="宋体" w:hAnsi="宋体" w:cs="宋体"/>
                <w:color w:val="auto"/>
                <w:kern w:val="0"/>
                <w:szCs w:val="21"/>
              </w:rPr>
            </w:pPr>
            <w:r>
              <w:rPr>
                <w:rFonts w:hint="eastAsia" w:ascii="宋体" w:hAnsi="宋体" w:cs="宋体"/>
                <w:color w:val="auto"/>
                <w:szCs w:val="21"/>
              </w:rPr>
              <w:t>代理服务费：</w:t>
            </w:r>
            <w:r>
              <w:rPr>
                <w:rFonts w:hint="eastAsia" w:ascii="宋体" w:hAnsi="宋体" w:cs="宋体"/>
                <w:color w:val="auto"/>
                <w:szCs w:val="21"/>
                <w:lang w:val="en-US" w:eastAsia="zh-CN"/>
              </w:rPr>
              <w:t>3</w:t>
            </w:r>
            <w:r>
              <w:rPr>
                <w:rFonts w:hint="eastAsia" w:ascii="宋体" w:hAnsi="宋体" w:cs="宋体"/>
                <w:color w:val="auto"/>
                <w:szCs w:val="21"/>
              </w:rPr>
              <w:t>000元（专家评审费另计，以实际支付为准）。</w:t>
            </w:r>
          </w:p>
          <w:p>
            <w:pPr>
              <w:spacing w:line="360" w:lineRule="exact"/>
              <w:rPr>
                <w:rFonts w:ascii="宋体" w:hAnsi="宋体" w:cs="宋体"/>
                <w:color w:val="auto"/>
                <w:szCs w:val="21"/>
              </w:rPr>
            </w:pPr>
            <w:r>
              <w:rPr>
                <w:rFonts w:hint="eastAsia" w:ascii="宋体" w:hAnsi="宋体" w:cs="宋体"/>
                <w:color w:val="auto"/>
                <w:szCs w:val="21"/>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ind w:right="-27" w:rightChars="-13"/>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同表</w:t>
            </w:r>
            <w:r>
              <w:rPr>
                <w:rFonts w:hint="eastAsia" w:ascii="宋体" w:hAnsi="宋体" w:cs="宋体"/>
                <w:color w:val="auto"/>
                <w:szCs w:val="21"/>
                <w:lang w:val="en-US" w:eastAsia="zh-CN"/>
              </w:rPr>
              <w:t>15</w:t>
            </w:r>
            <w:r>
              <w:rPr>
                <w:rFonts w:hint="eastAsia" w:ascii="宋体" w:hAnsi="宋体" w:cs="宋体"/>
                <w:color w:val="auto"/>
                <w:szCs w:val="21"/>
              </w:rPr>
              <w:t>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投标有效期</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投标有效期为</w:t>
            </w:r>
            <w:r>
              <w:rPr>
                <w:rFonts w:hint="eastAsia" w:ascii="宋体" w:hAnsi="宋体" w:cs="宋体"/>
                <w:color w:val="auto"/>
                <w:szCs w:val="21"/>
                <w:u w:val="single"/>
              </w:rPr>
              <w:t xml:space="preserve">30 </w:t>
            </w:r>
            <w:r>
              <w:rPr>
                <w:rFonts w:hint="eastAsia" w:ascii="宋体" w:hAnsi="宋体" w:cs="宋体"/>
                <w:color w:val="auto"/>
                <w:szCs w:val="21"/>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5"/>
              <w:numPr>
                <w:ilvl w:val="0"/>
                <w:numId w:val="1"/>
              </w:numPr>
              <w:spacing w:line="360" w:lineRule="exact"/>
              <w:jc w:val="center"/>
              <w:rPr>
                <w:rFonts w:ascii="宋体" w:hAnsi="宋体" w:cs="宋体"/>
                <w:b/>
                <w:bCs/>
                <w:color w:val="auto"/>
                <w:szCs w:val="21"/>
              </w:rPr>
            </w:pPr>
          </w:p>
        </w:tc>
        <w:tc>
          <w:tcPr>
            <w:tcW w:w="2400" w:type="dxa"/>
            <w:vAlign w:val="center"/>
          </w:tcPr>
          <w:p>
            <w:pPr>
              <w:pStyle w:val="25"/>
              <w:spacing w:line="360" w:lineRule="exact"/>
              <w:jc w:val="left"/>
              <w:rPr>
                <w:rFonts w:ascii="宋体" w:hAnsi="宋体" w:cs="宋体"/>
                <w:b/>
                <w:bCs/>
                <w:color w:val="auto"/>
                <w:szCs w:val="21"/>
              </w:rPr>
            </w:pPr>
            <w:r>
              <w:rPr>
                <w:rFonts w:hint="eastAsia" w:ascii="宋体" w:hAnsi="宋体" w:cs="宋体"/>
                <w:b/>
                <w:bCs/>
                <w:color w:val="auto"/>
                <w:szCs w:val="21"/>
              </w:rPr>
              <w:t>投标文件数量</w:t>
            </w:r>
          </w:p>
        </w:tc>
        <w:tc>
          <w:tcPr>
            <w:tcW w:w="7127" w:type="dxa"/>
            <w:vAlign w:val="center"/>
          </w:tcPr>
          <w:p>
            <w:pPr>
              <w:widowControl/>
              <w:spacing w:line="360" w:lineRule="exact"/>
              <w:ind w:firstLine="89" w:firstLineChars="42"/>
              <w:jc w:val="left"/>
              <w:rPr>
                <w:rFonts w:ascii="宋体" w:hAnsi="宋体" w:cs="宋体"/>
                <w:b/>
                <w:bCs/>
                <w:color w:val="auto"/>
                <w:szCs w:val="21"/>
              </w:rPr>
            </w:pPr>
            <w:r>
              <w:rPr>
                <w:rFonts w:hint="eastAsia" w:ascii="宋体" w:hAnsi="宋体" w:cs="宋体"/>
                <w:b/>
                <w:color w:val="auto"/>
                <w:kern w:val="0"/>
                <w:szCs w:val="21"/>
              </w:rPr>
              <w:t>正本</w:t>
            </w:r>
            <w:r>
              <w:rPr>
                <w:rFonts w:hint="eastAsia" w:ascii="宋体" w:hAnsi="宋体" w:cs="宋体"/>
                <w:b/>
                <w:color w:val="auto"/>
                <w:kern w:val="0"/>
                <w:szCs w:val="21"/>
                <w:u w:val="single"/>
              </w:rPr>
              <w:t xml:space="preserve"> 1 </w:t>
            </w:r>
            <w:r>
              <w:rPr>
                <w:rFonts w:hint="eastAsia" w:ascii="宋体" w:hAnsi="宋体" w:cs="宋体"/>
                <w:b/>
                <w:color w:val="auto"/>
                <w:kern w:val="0"/>
                <w:szCs w:val="21"/>
              </w:rPr>
              <w:t>份，副本</w:t>
            </w:r>
            <w:r>
              <w:rPr>
                <w:rFonts w:hint="eastAsia" w:ascii="宋体" w:hAnsi="宋体" w:cs="宋体"/>
                <w:b/>
                <w:color w:val="auto"/>
                <w:kern w:val="0"/>
                <w:szCs w:val="21"/>
                <w:u w:val="single"/>
              </w:rPr>
              <w:t xml:space="preserve"> 2 </w:t>
            </w:r>
            <w:r>
              <w:rPr>
                <w:rFonts w:hint="eastAsia" w:ascii="宋体" w:hAnsi="宋体" w:cs="宋体"/>
                <w:b/>
                <w:color w:val="auto"/>
                <w:kern w:val="0"/>
                <w:szCs w:val="21"/>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签字或盖章及密封要求</w:t>
            </w:r>
          </w:p>
        </w:tc>
        <w:tc>
          <w:tcPr>
            <w:tcW w:w="7127" w:type="dxa"/>
            <w:vAlign w:val="center"/>
          </w:tcPr>
          <w:p>
            <w:pPr>
              <w:spacing w:line="360" w:lineRule="exact"/>
              <w:rPr>
                <w:rFonts w:ascii="宋体" w:hAnsi="宋体" w:cs="宋体"/>
                <w:b/>
                <w:color w:val="auto"/>
                <w:kern w:val="0"/>
                <w:szCs w:val="21"/>
                <w:highlight w:val="none"/>
              </w:rPr>
            </w:pPr>
            <w:r>
              <w:rPr>
                <w:rFonts w:hint="eastAsia" w:ascii="宋体" w:hAnsi="宋体" w:cs="宋体"/>
                <w:b/>
                <w:color w:val="auto"/>
                <w:spacing w:val="-4"/>
                <w:kern w:val="0"/>
                <w:szCs w:val="21"/>
                <w:highlight w:val="none"/>
              </w:rPr>
              <w:t>一正两副装订成册，密封</w:t>
            </w:r>
            <w:r>
              <w:rPr>
                <w:rFonts w:hint="eastAsia" w:ascii="宋体" w:hAnsi="宋体" w:cs="宋体"/>
                <w:b/>
                <w:color w:val="auto"/>
                <w:spacing w:val="-4"/>
                <w:kern w:val="0"/>
                <w:szCs w:val="21"/>
                <w:highlight w:val="none"/>
                <w:lang w:val="en-US" w:eastAsia="zh-CN"/>
              </w:rPr>
              <w:t>于</w:t>
            </w:r>
            <w:r>
              <w:rPr>
                <w:rFonts w:hint="eastAsia" w:ascii="宋体" w:hAnsi="宋体" w:cs="宋体"/>
                <w:b/>
                <w:color w:val="auto"/>
                <w:spacing w:val="-4"/>
                <w:kern w:val="0"/>
                <w:szCs w:val="21"/>
                <w:highlight w:val="none"/>
              </w:rPr>
              <w:t>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投标文件提交截止时间</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递交投标文件截止时间：</w:t>
            </w:r>
            <w:r>
              <w:rPr>
                <w:rFonts w:hint="eastAsia" w:ascii="宋体" w:hAnsi="宋体" w:cs="宋体"/>
                <w:b/>
                <w:bCs/>
                <w:color w:val="auto"/>
                <w:szCs w:val="21"/>
              </w:rPr>
              <w:t>2024年</w:t>
            </w:r>
            <w:r>
              <w:rPr>
                <w:rFonts w:hint="eastAsia" w:ascii="宋体" w:hAnsi="宋体" w:cs="宋体"/>
                <w:b/>
                <w:bCs/>
                <w:color w:val="auto"/>
                <w:szCs w:val="21"/>
                <w:lang w:val="en-US" w:eastAsia="zh-CN"/>
              </w:rPr>
              <w:t xml:space="preserve">3 </w:t>
            </w:r>
            <w:r>
              <w:rPr>
                <w:rFonts w:hint="eastAsia" w:ascii="宋体" w:hAnsi="宋体" w:cs="宋体"/>
                <w:b/>
                <w:bCs/>
                <w:color w:val="auto"/>
                <w:szCs w:val="21"/>
              </w:rPr>
              <w:t>月</w:t>
            </w:r>
            <w:r>
              <w:rPr>
                <w:rFonts w:hint="eastAsia" w:ascii="宋体" w:hAnsi="宋体" w:cs="宋体"/>
                <w:b/>
                <w:bCs/>
                <w:color w:val="auto"/>
                <w:szCs w:val="21"/>
                <w:lang w:val="en-US" w:eastAsia="zh-CN"/>
              </w:rPr>
              <w:t>29</w:t>
            </w:r>
            <w:r>
              <w:rPr>
                <w:rFonts w:hint="eastAsia" w:ascii="宋体" w:hAnsi="宋体" w:cs="宋体"/>
                <w:b/>
                <w:bCs/>
                <w:color w:val="auto"/>
                <w:szCs w:val="21"/>
              </w:rPr>
              <w:t>日</w:t>
            </w:r>
            <w:r>
              <w:rPr>
                <w:rFonts w:hint="eastAsia" w:ascii="宋体" w:hAnsi="宋体" w:cs="宋体"/>
                <w:b/>
                <w:bCs/>
                <w:color w:val="auto"/>
                <w:szCs w:val="21"/>
                <w:lang w:val="en-US" w:eastAsia="zh-CN"/>
              </w:rPr>
              <w:t>17</w:t>
            </w:r>
            <w:r>
              <w:rPr>
                <w:rFonts w:hint="eastAsia" w:ascii="宋体" w:hAnsi="宋体" w:cs="宋体"/>
                <w:b/>
                <w:bCs/>
                <w:color w:val="auto"/>
                <w:szCs w:val="21"/>
              </w:rPr>
              <w:t>时</w:t>
            </w:r>
            <w:r>
              <w:rPr>
                <w:rFonts w:hint="eastAsia" w:ascii="宋体" w:hAnsi="宋体" w:cs="宋体"/>
                <w:b/>
                <w:bCs/>
                <w:color w:val="auto"/>
                <w:szCs w:val="21"/>
                <w:lang w:val="en-US" w:eastAsia="zh-CN"/>
              </w:rPr>
              <w:t>00</w:t>
            </w:r>
            <w:r>
              <w:rPr>
                <w:rFonts w:hint="eastAsia" w:ascii="宋体" w:hAnsi="宋体" w:cs="宋体"/>
                <w:b/>
                <w:bCs/>
                <w:color w:val="auto"/>
                <w:szCs w:val="21"/>
              </w:rPr>
              <w:t>分（北京时间）</w:t>
            </w:r>
          </w:p>
          <w:p>
            <w:pPr>
              <w:spacing w:line="360" w:lineRule="exact"/>
              <w:rPr>
                <w:rFonts w:ascii="宋体" w:hAnsi="宋体" w:cs="宋体"/>
                <w:color w:val="auto"/>
                <w:szCs w:val="21"/>
              </w:rPr>
            </w:pPr>
            <w:r>
              <w:rPr>
                <w:rFonts w:hint="eastAsia" w:ascii="宋体" w:hAnsi="宋体" w:cs="宋体"/>
                <w:b/>
                <w:color w:val="auto"/>
                <w:szCs w:val="21"/>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是否退还投标文件</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开标程序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评标委员会的组建</w:t>
            </w:r>
          </w:p>
        </w:tc>
        <w:tc>
          <w:tcPr>
            <w:tcW w:w="7127" w:type="dxa"/>
          </w:tcPr>
          <w:p>
            <w:pPr>
              <w:pStyle w:val="25"/>
              <w:spacing w:line="360" w:lineRule="exact"/>
              <w:rPr>
                <w:rFonts w:ascii="宋体" w:hAnsi="宋体" w:cs="宋体"/>
                <w:color w:val="auto"/>
                <w:szCs w:val="21"/>
              </w:rPr>
            </w:pPr>
            <w:r>
              <w:rPr>
                <w:rFonts w:hint="eastAsia" w:ascii="宋体" w:hAnsi="宋体" w:cs="宋体"/>
                <w:color w:val="auto"/>
                <w:szCs w:val="21"/>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color w:val="auto"/>
                <w:szCs w:val="21"/>
              </w:rPr>
              <w:t>是否授权评标委员会确定中标候选人</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color w:val="auto"/>
                <w:szCs w:val="21"/>
              </w:rPr>
              <w:t>是，评标委员会推荐</w:t>
            </w:r>
            <w:r>
              <w:rPr>
                <w:rFonts w:hint="eastAsia" w:ascii="宋体" w:hAnsi="宋体" w:cs="宋体"/>
                <w:color w:val="auto"/>
                <w:szCs w:val="21"/>
                <w:u w:val="single"/>
              </w:rPr>
              <w:t>3</w:t>
            </w:r>
            <w:r>
              <w:rPr>
                <w:rFonts w:hint="eastAsia" w:ascii="宋体" w:hAnsi="宋体" w:cs="宋体"/>
                <w:color w:val="auto"/>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bCs/>
                <w:color w:val="auto"/>
                <w:szCs w:val="21"/>
                <w:u w:color="000000"/>
              </w:rPr>
              <w:t>中标结果公告媒介</w:t>
            </w:r>
          </w:p>
        </w:tc>
        <w:tc>
          <w:tcPr>
            <w:tcW w:w="7127" w:type="dxa"/>
            <w:vAlign w:val="center"/>
          </w:tcPr>
          <w:p>
            <w:pPr>
              <w:pStyle w:val="25"/>
              <w:spacing w:line="360" w:lineRule="exact"/>
              <w:rPr>
                <w:rFonts w:ascii="宋体" w:hAnsi="宋体" w:cs="宋体"/>
                <w:color w:val="auto"/>
                <w:szCs w:val="21"/>
              </w:rPr>
            </w:pPr>
            <w:r>
              <w:rPr>
                <w:rFonts w:hint="eastAsia" w:ascii="宋体" w:hAnsi="宋体" w:cs="宋体"/>
                <w:bCs/>
                <w:color w:val="auto"/>
                <w:szCs w:val="21"/>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5"/>
              <w:numPr>
                <w:ilvl w:val="0"/>
                <w:numId w:val="1"/>
              </w:numPr>
              <w:spacing w:line="360" w:lineRule="exact"/>
              <w:jc w:val="center"/>
              <w:rPr>
                <w:rFonts w:ascii="宋体" w:hAnsi="宋体" w:cs="宋体"/>
                <w:color w:val="auto"/>
                <w:szCs w:val="21"/>
              </w:rPr>
            </w:pPr>
          </w:p>
        </w:tc>
        <w:tc>
          <w:tcPr>
            <w:tcW w:w="2400" w:type="dxa"/>
            <w:vAlign w:val="center"/>
          </w:tcPr>
          <w:p>
            <w:pPr>
              <w:pStyle w:val="25"/>
              <w:spacing w:line="360" w:lineRule="exact"/>
              <w:jc w:val="left"/>
              <w:rPr>
                <w:rFonts w:ascii="宋体" w:hAnsi="宋体" w:cs="宋体"/>
                <w:color w:val="auto"/>
                <w:szCs w:val="21"/>
              </w:rPr>
            </w:pPr>
            <w:r>
              <w:rPr>
                <w:rFonts w:hint="eastAsia" w:ascii="宋体" w:hAnsi="宋体" w:cs="宋体"/>
                <w:bCs/>
                <w:color w:val="auto"/>
                <w:szCs w:val="21"/>
                <w:u w:color="000000"/>
              </w:rPr>
              <w:t>中标结果公告期限</w:t>
            </w:r>
          </w:p>
        </w:tc>
        <w:tc>
          <w:tcPr>
            <w:tcW w:w="7127" w:type="dxa"/>
            <w:vAlign w:val="center"/>
          </w:tcPr>
          <w:p>
            <w:pPr>
              <w:pStyle w:val="25"/>
              <w:spacing w:line="360" w:lineRule="exact"/>
              <w:rPr>
                <w:rFonts w:ascii="宋体" w:hAnsi="宋体" w:cs="宋体"/>
                <w:bCs/>
                <w:color w:val="auto"/>
                <w:szCs w:val="21"/>
              </w:rPr>
            </w:pPr>
            <w:r>
              <w:rPr>
                <w:rFonts w:hint="eastAsia" w:ascii="宋体" w:hAnsi="宋体" w:cs="宋体"/>
                <w:bCs/>
                <w:color w:val="auto"/>
                <w:szCs w:val="21"/>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jc w:val="center"/>
              <w:rPr>
                <w:rFonts w:ascii="宋体" w:hAnsi="宋体" w:cs="宋体"/>
                <w:color w:val="auto"/>
                <w:szCs w:val="21"/>
              </w:rPr>
            </w:pPr>
          </w:p>
        </w:tc>
        <w:tc>
          <w:tcPr>
            <w:tcW w:w="2400"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中标通知书发放形式</w:t>
            </w:r>
          </w:p>
        </w:tc>
        <w:tc>
          <w:tcPr>
            <w:tcW w:w="7127" w:type="dxa"/>
            <w:vAlign w:val="center"/>
          </w:tcPr>
          <w:p>
            <w:pPr>
              <w:spacing w:line="360" w:lineRule="exact"/>
              <w:rPr>
                <w:rFonts w:ascii="宋体" w:hAnsi="宋体" w:cs="宋体"/>
                <w:color w:val="auto"/>
                <w:szCs w:val="21"/>
              </w:rPr>
            </w:pPr>
            <w:r>
              <w:rPr>
                <w:rFonts w:hint="eastAsia" w:ascii="宋体" w:hAnsi="宋体" w:cs="宋体"/>
                <w:color w:val="auto"/>
                <w:szCs w:val="21"/>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ascii="宋体" w:hAnsi="宋体" w:cs="宋体"/>
                <w:b/>
                <w:bCs/>
                <w:color w:val="auto"/>
                <w:szCs w:val="21"/>
              </w:rPr>
            </w:pPr>
            <w:r>
              <w:rPr>
                <w:rFonts w:hint="eastAsia" w:ascii="宋体" w:hAnsi="宋体" w:cs="宋体"/>
                <w:b/>
                <w:bCs/>
                <w:color w:val="auto"/>
                <w:szCs w:val="21"/>
              </w:rPr>
              <w:t>付款方式、时间、条件</w:t>
            </w:r>
          </w:p>
        </w:tc>
        <w:tc>
          <w:tcPr>
            <w:tcW w:w="7127" w:type="dxa"/>
            <w:vAlign w:val="center"/>
          </w:tcPr>
          <w:p>
            <w:pPr>
              <w:spacing w:line="360" w:lineRule="exact"/>
              <w:jc w:val="left"/>
              <w:rPr>
                <w:rFonts w:hint="eastAsia" w:ascii="宋体" w:hAnsi="宋体" w:eastAsia="宋体" w:cs="宋体"/>
                <w:b/>
                <w:bCs/>
                <w:color w:val="auto"/>
                <w:szCs w:val="21"/>
                <w:lang w:val="en-US" w:eastAsia="zh-CN"/>
              </w:rPr>
            </w:pPr>
            <w:r>
              <w:rPr>
                <w:rFonts w:hint="eastAsia"/>
                <w:b/>
                <w:bCs/>
              </w:rPr>
              <w:t>服务期满后根据实际服务时间一次性结清服务费</w:t>
            </w:r>
            <w:r>
              <w:rPr>
                <w:rFonts w:hint="eastAsia"/>
                <w:b/>
                <w:bCs/>
                <w:lang w:eastAsia="zh-CN"/>
              </w:rPr>
              <w:t>。</w:t>
            </w:r>
          </w:p>
        </w:tc>
      </w:tr>
      <w:bookmarkEnd w:id="0"/>
      <w:bookmarkEnd w:id="1"/>
      <w:bookmarkEnd w:id="2"/>
      <w:bookmarkEnd w:id="3"/>
      <w:bookmarkEnd w:id="4"/>
      <w:bookmarkEnd w:id="6"/>
      <w:bookmarkEnd w:id="7"/>
    </w:tbl>
    <w:p>
      <w:pPr>
        <w:pStyle w:val="9"/>
        <w:rPr>
          <w:rFonts w:hint="eastAsia"/>
          <w:color w:val="auto"/>
          <w:lang w:eastAsia="zh-CN"/>
        </w:rPr>
      </w:pPr>
      <w:bookmarkStart w:id="39" w:name="_Toc35425053"/>
      <w:bookmarkStart w:id="40" w:name="_Toc15058846"/>
      <w:bookmarkStart w:id="41" w:name="_Toc26342"/>
      <w:bookmarkStart w:id="42" w:name="_Toc8242"/>
      <w:bookmarkStart w:id="43" w:name="_Toc13234"/>
      <w:bookmarkStart w:id="44" w:name="_Toc20532"/>
      <w:bookmarkStart w:id="45" w:name="_Toc35424887"/>
      <w:bookmarkStart w:id="46" w:name="_Toc35947170"/>
      <w:bookmarkStart w:id="47" w:name="_Toc531771949"/>
      <w:bookmarkStart w:id="48" w:name="_Toc8218_WPSOffice_Level1"/>
    </w:p>
    <w:p>
      <w:pPr>
        <w:rPr>
          <w:rFonts w:hint="eastAsia"/>
          <w:color w:val="auto"/>
          <w:lang w:eastAsia="zh-CN"/>
        </w:rPr>
      </w:pPr>
    </w:p>
    <w:p>
      <w:pPr>
        <w:pStyle w:val="2"/>
        <w:rPr>
          <w:rFonts w:hint="eastAsia"/>
          <w:color w:val="auto"/>
          <w:lang w:eastAsia="zh-CN"/>
        </w:rPr>
      </w:pPr>
    </w:p>
    <w:p>
      <w:pPr>
        <w:pStyle w:val="6"/>
        <w:rPr>
          <w:rFonts w:hint="eastAsia"/>
          <w:color w:val="auto"/>
          <w:lang w:eastAsia="zh-CN"/>
        </w:rPr>
      </w:pPr>
    </w:p>
    <w:p>
      <w:pPr>
        <w:pStyle w:val="7"/>
        <w:rPr>
          <w:rFonts w:hint="eastAsia"/>
          <w:color w:val="auto"/>
          <w:lang w:eastAsia="zh-CN"/>
        </w:rPr>
      </w:pPr>
    </w:p>
    <w:p>
      <w:pPr>
        <w:rPr>
          <w:rFonts w:hint="eastAsia"/>
          <w:color w:val="auto"/>
          <w:lang w:eastAsia="zh-CN"/>
        </w:rPr>
      </w:pPr>
    </w:p>
    <w:p>
      <w:pPr>
        <w:pStyle w:val="2"/>
        <w:rPr>
          <w:rFonts w:hint="eastAsia"/>
          <w:color w:val="auto"/>
          <w:lang w:eastAsia="zh-CN"/>
        </w:rPr>
      </w:pPr>
    </w:p>
    <w:p>
      <w:pPr>
        <w:pStyle w:val="6"/>
        <w:rPr>
          <w:rFonts w:hint="eastAsia"/>
          <w:color w:val="auto"/>
          <w:lang w:eastAsia="zh-CN"/>
        </w:rPr>
      </w:pPr>
    </w:p>
    <w:p>
      <w:pPr>
        <w:pStyle w:val="7"/>
        <w:rPr>
          <w:rFonts w:hint="eastAsia"/>
          <w:lang w:eastAsia="zh-CN"/>
        </w:rPr>
      </w:pPr>
    </w:p>
    <w:p>
      <w:pPr>
        <w:pStyle w:val="7"/>
        <w:rPr>
          <w:rFonts w:hint="eastAsia"/>
          <w:color w:val="auto"/>
          <w:lang w:eastAsia="zh-CN"/>
        </w:rPr>
      </w:pPr>
    </w:p>
    <w:p>
      <w:pPr>
        <w:rPr>
          <w:rFonts w:hint="eastAsia"/>
          <w:color w:val="auto"/>
          <w:lang w:eastAsia="zh-CN"/>
        </w:rPr>
      </w:pPr>
    </w:p>
    <w:p>
      <w:pPr>
        <w:pStyle w:val="2"/>
        <w:rPr>
          <w:rFonts w:hint="eastAsia"/>
          <w:color w:val="auto"/>
          <w:lang w:eastAsia="zh-CN"/>
        </w:rPr>
      </w:pPr>
    </w:p>
    <w:p>
      <w:pPr>
        <w:pStyle w:val="6"/>
        <w:rPr>
          <w:rFonts w:hint="eastAsia"/>
          <w:color w:val="auto"/>
          <w:lang w:eastAsia="zh-CN"/>
        </w:rPr>
      </w:pPr>
    </w:p>
    <w:p>
      <w:pPr>
        <w:pStyle w:val="7"/>
        <w:rPr>
          <w:rFonts w:hint="eastAsia"/>
          <w:color w:val="auto"/>
          <w:lang w:eastAsia="zh-CN"/>
        </w:rPr>
      </w:pPr>
    </w:p>
    <w:p>
      <w:pPr>
        <w:rPr>
          <w:rFonts w:hint="eastAsia"/>
          <w:color w:val="auto"/>
          <w:lang w:eastAsia="zh-CN"/>
        </w:rPr>
      </w:pPr>
    </w:p>
    <w:p>
      <w:pPr>
        <w:pStyle w:val="9"/>
        <w:rPr>
          <w:color w:val="auto"/>
        </w:rPr>
      </w:pPr>
      <w:r>
        <w:rPr>
          <w:rFonts w:hint="eastAsia"/>
          <w:color w:val="auto"/>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color w:val="auto"/>
          <w:szCs w:val="21"/>
        </w:rPr>
      </w:pPr>
      <w:bookmarkStart w:id="49" w:name="_Toc15058858"/>
      <w:bookmarkStart w:id="50" w:name="_Toc324404827"/>
      <w:bookmarkStart w:id="51" w:name="_Toc144974510"/>
      <w:bookmarkStart w:id="52" w:name="_Toc246996930"/>
      <w:bookmarkStart w:id="53" w:name="_Toc35424899"/>
      <w:bookmarkStart w:id="54" w:name="_Toc35947182"/>
      <w:bookmarkStart w:id="55" w:name="_Toc179632560"/>
      <w:bookmarkStart w:id="56" w:name="_Toc247085701"/>
      <w:bookmarkStart w:id="57" w:name="_Toc152042318"/>
      <w:bookmarkStart w:id="58" w:name="_Toc246996187"/>
      <w:bookmarkStart w:id="59" w:name="_Toc152045542"/>
      <w:bookmarkStart w:id="60" w:name="_Toc506107281"/>
      <w:bookmarkStart w:id="61" w:name="_Toc35425065"/>
      <w:bookmarkStart w:id="62" w:name="_Toc24080"/>
      <w:bookmarkStart w:id="63" w:name="_Toc11696"/>
      <w:bookmarkStart w:id="64" w:name="_Toc32316"/>
      <w:bookmarkStart w:id="65" w:name="_Toc26510"/>
      <w:r>
        <w:rPr>
          <w:rFonts w:hint="eastAsia" w:ascii="宋体"/>
          <w:b/>
          <w:color w:val="auto"/>
          <w:szCs w:val="21"/>
        </w:rPr>
        <w:t>1.项目概况</w:t>
      </w:r>
    </w:p>
    <w:p>
      <w:pPr>
        <w:snapToGrid w:val="0"/>
        <w:spacing w:line="440" w:lineRule="exact"/>
        <w:ind w:firstLine="420" w:firstLineChars="200"/>
        <w:rPr>
          <w:rFonts w:hint="eastAsia"/>
          <w:color w:val="auto"/>
          <w:szCs w:val="21"/>
          <w:lang w:eastAsia="zh-CN"/>
        </w:rPr>
      </w:pPr>
      <w:r>
        <w:rPr>
          <w:rFonts w:hint="eastAsia"/>
          <w:color w:val="auto"/>
          <w:szCs w:val="21"/>
        </w:rPr>
        <w:t>本次招标采购项目名称：</w:t>
      </w:r>
      <w:r>
        <w:rPr>
          <w:rFonts w:hint="eastAsia"/>
          <w:color w:val="auto"/>
          <w:szCs w:val="21"/>
          <w:lang w:eastAsia="zh-CN"/>
        </w:rPr>
        <w:t>滁州市第二人民医院污水站在线监控设备维护及排污许可证自行监测服务项目</w:t>
      </w:r>
    </w:p>
    <w:p>
      <w:pPr>
        <w:snapToGrid w:val="0"/>
        <w:spacing w:line="440" w:lineRule="exact"/>
        <w:ind w:firstLine="420" w:firstLineChars="200"/>
        <w:rPr>
          <w:color w:val="auto"/>
          <w:szCs w:val="21"/>
        </w:rPr>
      </w:pPr>
      <w:r>
        <w:rPr>
          <w:rFonts w:hint="eastAsia"/>
          <w:color w:val="auto"/>
          <w:szCs w:val="21"/>
        </w:rPr>
        <w:t>采 购 人：滁州市第二人民医院（市传染病医院、市精神病医院）</w:t>
      </w:r>
    </w:p>
    <w:p>
      <w:pPr>
        <w:snapToGrid w:val="0"/>
        <w:spacing w:line="440" w:lineRule="exact"/>
        <w:ind w:firstLine="420" w:firstLineChars="200"/>
        <w:rPr>
          <w:color w:val="auto"/>
          <w:szCs w:val="21"/>
          <w:highlight w:val="none"/>
        </w:rPr>
      </w:pPr>
      <w:r>
        <w:rPr>
          <w:rFonts w:hint="eastAsia"/>
          <w:color w:val="auto"/>
          <w:szCs w:val="21"/>
          <w:highlight w:val="none"/>
        </w:rPr>
        <w:t>服务期限：</w:t>
      </w:r>
      <w:r>
        <w:rPr>
          <w:rFonts w:hint="eastAsia"/>
          <w:color w:val="auto"/>
          <w:szCs w:val="21"/>
          <w:highlight w:val="none"/>
          <w:lang w:eastAsia="zh-CN"/>
        </w:rPr>
        <w:t xml:space="preserve"> 一年（因污水处理站即将改扩建，最终以实际服务时间结算服务费用）</w:t>
      </w:r>
      <w:r>
        <w:rPr>
          <w:rFonts w:hint="eastAsia"/>
          <w:color w:val="auto"/>
          <w:szCs w:val="21"/>
          <w:highlight w:val="none"/>
        </w:rPr>
        <w:t>。</w:t>
      </w:r>
    </w:p>
    <w:p>
      <w:pPr>
        <w:snapToGrid w:val="0"/>
        <w:spacing w:line="440" w:lineRule="exact"/>
        <w:ind w:firstLine="422" w:firstLineChars="200"/>
        <w:rPr>
          <w:rFonts w:ascii="宋体"/>
          <w:b/>
          <w:color w:val="auto"/>
          <w:szCs w:val="21"/>
        </w:rPr>
      </w:pPr>
      <w:r>
        <w:rPr>
          <w:rFonts w:hint="eastAsia" w:ascii="宋体"/>
          <w:b/>
          <w:color w:val="auto"/>
          <w:szCs w:val="21"/>
        </w:rPr>
        <w:t>2.招标范围：</w:t>
      </w:r>
    </w:p>
    <w:p>
      <w:pPr>
        <w:snapToGrid w:val="0"/>
        <w:spacing w:line="440" w:lineRule="exact"/>
        <w:ind w:firstLine="420" w:firstLineChars="200"/>
        <w:rPr>
          <w:rFonts w:hint="eastAsia" w:eastAsia="宋体"/>
          <w:color w:val="auto"/>
          <w:szCs w:val="21"/>
          <w:lang w:eastAsia="zh-CN"/>
        </w:rPr>
      </w:pPr>
      <w:r>
        <w:rPr>
          <w:rFonts w:hint="eastAsia" w:ascii="宋体" w:hAnsi="宋体" w:cs="宋体"/>
          <w:color w:val="auto"/>
          <w:sz w:val="21"/>
          <w:szCs w:val="21"/>
        </w:rPr>
        <w:t>本次招标主要包含以上监测设备日常维护、检测比对保养以及更换在线仪表消耗品（试剂）和易损件、仪器维修、软件升级等所有费用。所需的所有试剂、耗材、易损配件、检测比对等相关服务</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具体详见采购需求</w:t>
      </w:r>
      <w:r>
        <w:rPr>
          <w:rFonts w:hint="eastAsia"/>
          <w:color w:val="auto"/>
          <w:szCs w:val="21"/>
          <w:lang w:eastAsia="zh-CN"/>
        </w:rPr>
        <w:t>。</w:t>
      </w:r>
    </w:p>
    <w:p>
      <w:pPr>
        <w:snapToGrid w:val="0"/>
        <w:spacing w:line="440" w:lineRule="exact"/>
        <w:ind w:firstLine="422" w:firstLineChars="200"/>
        <w:rPr>
          <w:rFonts w:ascii="宋体"/>
          <w:color w:val="auto"/>
          <w:szCs w:val="21"/>
        </w:rPr>
      </w:pPr>
      <w:r>
        <w:rPr>
          <w:rFonts w:hint="eastAsia" w:ascii="宋体"/>
          <w:b/>
          <w:color w:val="auto"/>
          <w:szCs w:val="21"/>
        </w:rPr>
        <w:t>3.标包划分：</w:t>
      </w:r>
      <w:r>
        <w:rPr>
          <w:rFonts w:hint="eastAsia" w:ascii="宋体"/>
          <w:color w:val="auto"/>
          <w:szCs w:val="21"/>
        </w:rPr>
        <w:t>一个标段。</w:t>
      </w:r>
    </w:p>
    <w:p>
      <w:pPr>
        <w:snapToGrid w:val="0"/>
        <w:spacing w:line="440" w:lineRule="exact"/>
        <w:ind w:firstLine="422" w:firstLineChars="200"/>
        <w:rPr>
          <w:rFonts w:ascii="宋体"/>
          <w:color w:val="auto"/>
          <w:szCs w:val="21"/>
        </w:rPr>
      </w:pPr>
      <w:r>
        <w:rPr>
          <w:rFonts w:hint="eastAsia" w:ascii="宋体"/>
          <w:b/>
          <w:color w:val="auto"/>
          <w:szCs w:val="21"/>
        </w:rPr>
        <w:t>4.招标方式：</w:t>
      </w:r>
      <w:r>
        <w:rPr>
          <w:rFonts w:hint="eastAsia" w:ascii="宋体"/>
          <w:color w:val="auto"/>
          <w:szCs w:val="21"/>
        </w:rPr>
        <w:t>公开招标</w:t>
      </w:r>
    </w:p>
    <w:p>
      <w:pPr>
        <w:snapToGrid w:val="0"/>
        <w:spacing w:line="440" w:lineRule="exact"/>
        <w:ind w:firstLine="422" w:firstLineChars="200"/>
        <w:rPr>
          <w:rFonts w:ascii="宋体"/>
          <w:color w:val="auto"/>
          <w:szCs w:val="21"/>
        </w:rPr>
      </w:pPr>
      <w:r>
        <w:rPr>
          <w:rFonts w:hint="eastAsia" w:ascii="宋体"/>
          <w:b/>
          <w:color w:val="auto"/>
          <w:szCs w:val="21"/>
        </w:rPr>
        <w:t>5.计价方式：</w:t>
      </w:r>
      <w:r>
        <w:rPr>
          <w:rFonts w:hint="eastAsia" w:ascii="宋体"/>
          <w:color w:val="auto"/>
          <w:szCs w:val="21"/>
        </w:rPr>
        <w:t>本次招标项目合同采用</w:t>
      </w:r>
      <w:r>
        <w:rPr>
          <w:rFonts w:hint="eastAsia" w:ascii="宋体"/>
          <w:color w:val="auto"/>
          <w:szCs w:val="21"/>
          <w:u w:val="single"/>
        </w:rPr>
        <w:t xml:space="preserve">   固定总价</w:t>
      </w:r>
      <w:r>
        <w:rPr>
          <w:rFonts w:hint="eastAsia" w:ascii="宋体"/>
          <w:color w:val="auto"/>
          <w:szCs w:val="21"/>
          <w:u w:val="single"/>
          <w:lang w:val="en-US" w:eastAsia="zh-CN"/>
        </w:rPr>
        <w:t xml:space="preserve">  </w:t>
      </w:r>
      <w:r>
        <w:rPr>
          <w:rFonts w:hint="eastAsia" w:ascii="宋体"/>
          <w:color w:val="auto"/>
          <w:szCs w:val="21"/>
          <w:u w:val="single"/>
        </w:rPr>
        <w:t>。</w:t>
      </w:r>
    </w:p>
    <w:p>
      <w:pPr>
        <w:snapToGrid w:val="0"/>
        <w:spacing w:line="440" w:lineRule="exact"/>
        <w:ind w:firstLine="422" w:firstLineChars="200"/>
        <w:rPr>
          <w:rFonts w:ascii="宋体"/>
          <w:color w:val="auto"/>
          <w:szCs w:val="21"/>
        </w:rPr>
      </w:pPr>
      <w:r>
        <w:rPr>
          <w:rFonts w:hint="eastAsia" w:ascii="宋体"/>
          <w:b/>
          <w:color w:val="auto"/>
          <w:szCs w:val="21"/>
        </w:rPr>
        <w:t>6.评标办法：</w:t>
      </w:r>
      <w:r>
        <w:rPr>
          <w:rFonts w:hint="eastAsia" w:ascii="宋体"/>
          <w:color w:val="auto"/>
          <w:szCs w:val="21"/>
        </w:rPr>
        <w:t>本次招标评标采用</w:t>
      </w:r>
      <w:r>
        <w:rPr>
          <w:rFonts w:hint="eastAsia" w:ascii="宋体"/>
          <w:color w:val="auto"/>
          <w:szCs w:val="21"/>
          <w:u w:val="single"/>
        </w:rPr>
        <w:t xml:space="preserve"> </w:t>
      </w:r>
      <w:r>
        <w:rPr>
          <w:rFonts w:hint="eastAsia" w:ascii="宋体"/>
          <w:b/>
          <w:color w:val="auto"/>
          <w:szCs w:val="21"/>
          <w:u w:val="single"/>
        </w:rPr>
        <w:t>综合评分</w:t>
      </w:r>
      <w:r>
        <w:rPr>
          <w:rFonts w:ascii="宋体"/>
          <w:b/>
          <w:color w:val="auto"/>
          <w:szCs w:val="21"/>
          <w:u w:val="single"/>
        </w:rPr>
        <w:t>法</w:t>
      </w:r>
      <w:r>
        <w:rPr>
          <w:rFonts w:hint="eastAsia" w:ascii="宋体"/>
          <w:color w:val="auto"/>
          <w:szCs w:val="21"/>
        </w:rPr>
        <w:t>（详见第三章评标办法）</w:t>
      </w:r>
    </w:p>
    <w:p>
      <w:pPr>
        <w:snapToGrid w:val="0"/>
        <w:spacing w:line="440" w:lineRule="exact"/>
        <w:ind w:firstLine="422" w:firstLineChars="200"/>
        <w:rPr>
          <w:rFonts w:ascii="宋体"/>
          <w:b/>
          <w:color w:val="auto"/>
          <w:szCs w:val="21"/>
        </w:rPr>
      </w:pPr>
      <w:r>
        <w:rPr>
          <w:rFonts w:hint="eastAsia" w:ascii="宋体"/>
          <w:b/>
          <w:color w:val="auto"/>
          <w:szCs w:val="21"/>
        </w:rPr>
        <w:t>7.投标人资格：</w:t>
      </w:r>
      <w:r>
        <w:rPr>
          <w:rFonts w:hint="eastAsia" w:ascii="宋体"/>
          <w:color w:val="auto"/>
          <w:szCs w:val="21"/>
        </w:rPr>
        <w:t>详见第一章“招标公告”</w:t>
      </w:r>
    </w:p>
    <w:p>
      <w:pPr>
        <w:pStyle w:val="9"/>
        <w:rPr>
          <w:rFonts w:hint="eastAsia"/>
          <w:color w:val="auto"/>
        </w:rPr>
      </w:pPr>
      <w:r>
        <w:rPr>
          <w:rFonts w:hint="eastAsia"/>
          <w:color w:val="auto"/>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color w:val="auto"/>
        </w:rPr>
        <w:t>交易文件</w:t>
      </w:r>
      <w:bookmarkEnd w:id="62"/>
      <w:bookmarkEnd w:id="63"/>
      <w:bookmarkEnd w:id="64"/>
      <w:bookmarkEnd w:id="65"/>
      <w:bookmarkStart w:id="66" w:name="_Toc246996931"/>
      <w:bookmarkStart w:id="67" w:name="_Toc246996188"/>
      <w:bookmarkStart w:id="68" w:name="_Toc152045543"/>
      <w:bookmarkStart w:id="69" w:name="_Toc35425066"/>
      <w:bookmarkStart w:id="70" w:name="_Toc152042319"/>
      <w:bookmarkStart w:id="71" w:name="_Toc324404828"/>
      <w:bookmarkStart w:id="72" w:name="_Toc35424900"/>
      <w:bookmarkStart w:id="73" w:name="_Toc29501"/>
      <w:bookmarkStart w:id="74" w:name="_Toc3202"/>
      <w:bookmarkStart w:id="75" w:name="_Toc179632561"/>
      <w:bookmarkStart w:id="76" w:name="_Toc35947183"/>
      <w:bookmarkStart w:id="77" w:name="_Toc144974511"/>
      <w:bookmarkStart w:id="78" w:name="_Toc15058859"/>
      <w:bookmarkStart w:id="79" w:name="_Toc296602433"/>
      <w:bookmarkStart w:id="80" w:name="_Toc247085702"/>
      <w:bookmarkStart w:id="81" w:name="_Toc23619"/>
      <w:bookmarkStart w:id="82" w:name="_Toc506107282"/>
    </w:p>
    <w:p>
      <w:pPr>
        <w:spacing w:line="440" w:lineRule="atLeast"/>
        <w:ind w:firstLine="422" w:firstLineChars="200"/>
        <w:outlineLvl w:val="2"/>
        <w:rPr>
          <w:rFonts w:hint="eastAsia" w:ascii="宋体" w:hAnsi="宋体" w:cs="宋体"/>
          <w:b/>
          <w:bCs/>
          <w:color w:val="auto"/>
          <w:szCs w:val="21"/>
        </w:rPr>
      </w:pPr>
      <w:r>
        <w:rPr>
          <w:rFonts w:hint="eastAsia" w:ascii="宋体" w:hAnsi="宋体" w:cs="宋体"/>
          <w:b/>
          <w:bCs/>
          <w:color w:val="auto"/>
          <w:szCs w:val="21"/>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招标公告</w:t>
      </w:r>
      <w:r>
        <w:rPr>
          <w:rFonts w:hint="eastAsia" w:ascii="宋体" w:hAnsi="宋体" w:cs="宋体"/>
          <w:color w:val="auto"/>
          <w:szCs w:val="21"/>
        </w:rPr>
        <w:t>；</w:t>
      </w:r>
    </w:p>
    <w:p>
      <w:pPr>
        <w:spacing w:line="440" w:lineRule="atLeas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投标人须知前附表</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评标办法</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服务需求</w:t>
      </w:r>
      <w:r>
        <w:rPr>
          <w:rFonts w:hint="eastAsia" w:ascii="宋体" w:hAnsi="宋体" w:cs="宋体"/>
          <w:color w:val="auto"/>
          <w:szCs w:val="21"/>
        </w:rPr>
        <w:t>；</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合同条款及格式</w:t>
      </w: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投标文件格式</w:t>
      </w: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采购人、采购代理机构对本招标文件的确认</w:t>
      </w:r>
      <w:r>
        <w:rPr>
          <w:rFonts w:hint="eastAsia" w:ascii="宋体" w:hAnsi="宋体" w:cs="宋体"/>
          <w:color w:val="auto"/>
          <w:szCs w:val="21"/>
        </w:rPr>
        <w:t>。</w:t>
      </w:r>
    </w:p>
    <w:p>
      <w:pPr>
        <w:spacing w:line="440" w:lineRule="atLeast"/>
        <w:ind w:firstLine="422" w:firstLineChars="200"/>
        <w:outlineLvl w:val="2"/>
        <w:rPr>
          <w:rFonts w:ascii="宋体" w:hAnsi="宋体" w:cs="宋体"/>
          <w:b/>
          <w:bCs/>
          <w:color w:val="auto"/>
          <w:szCs w:val="21"/>
        </w:rPr>
      </w:pPr>
      <w:bookmarkStart w:id="83" w:name="_Toc35424901"/>
      <w:bookmarkStart w:id="84" w:name="_Toc35425067"/>
      <w:bookmarkStart w:id="85" w:name="_Toc152042320"/>
      <w:bookmarkStart w:id="86" w:name="_Toc324404829"/>
      <w:bookmarkStart w:id="87" w:name="_Toc152045544"/>
      <w:bookmarkStart w:id="88" w:name="_Toc7670"/>
      <w:bookmarkStart w:id="89" w:name="_Toc179632562"/>
      <w:bookmarkStart w:id="90" w:name="_Toc15058860"/>
      <w:bookmarkStart w:id="91" w:name="_Toc144974512"/>
      <w:bookmarkStart w:id="92" w:name="_Toc246996932"/>
      <w:bookmarkStart w:id="93" w:name="_Toc35947184"/>
      <w:bookmarkStart w:id="94" w:name="_Toc246996189"/>
      <w:bookmarkStart w:id="95" w:name="_Toc296602434"/>
      <w:bookmarkStart w:id="96" w:name="_Toc506107283"/>
      <w:bookmarkStart w:id="97" w:name="_Toc25054"/>
      <w:bookmarkStart w:id="98" w:name="_Toc247085703"/>
      <w:bookmarkStart w:id="99" w:name="_Toc11806"/>
      <w:r>
        <w:rPr>
          <w:rFonts w:hint="eastAsia" w:ascii="宋体" w:hAnsi="宋体" w:cs="宋体"/>
          <w:b/>
          <w:bCs/>
          <w:color w:val="auto"/>
          <w:szCs w:val="21"/>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color w:val="auto"/>
          <w:szCs w:val="21"/>
        </w:rPr>
        <w:t xml:space="preserve"> </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color w:val="auto"/>
          <w:szCs w:val="21"/>
        </w:rPr>
      </w:pPr>
      <w:bookmarkStart w:id="100" w:name="_Toc15058861"/>
      <w:bookmarkStart w:id="101" w:name="_Toc179632563"/>
      <w:bookmarkStart w:id="102" w:name="_Toc152045545"/>
      <w:bookmarkStart w:id="103" w:name="_Toc20350"/>
      <w:bookmarkStart w:id="104" w:name="_Toc246996933"/>
      <w:bookmarkStart w:id="105" w:name="_Toc35425068"/>
      <w:bookmarkStart w:id="106" w:name="_Toc246996190"/>
      <w:bookmarkStart w:id="107" w:name="_Toc12699"/>
      <w:bookmarkStart w:id="108" w:name="_Toc144974513"/>
      <w:bookmarkStart w:id="109" w:name="_Toc324404830"/>
      <w:bookmarkStart w:id="110" w:name="_Toc296602435"/>
      <w:bookmarkStart w:id="111" w:name="_Toc35947185"/>
      <w:bookmarkStart w:id="112" w:name="_Toc152042321"/>
      <w:bookmarkStart w:id="113" w:name="_Toc506107284"/>
      <w:bookmarkStart w:id="114" w:name="_Toc35424902"/>
      <w:bookmarkStart w:id="115" w:name="_Toc247085704"/>
      <w:bookmarkStart w:id="116" w:name="_Toc30752"/>
      <w:r>
        <w:rPr>
          <w:rFonts w:hint="eastAsia" w:ascii="宋体" w:hAnsi="宋体" w:cs="宋体"/>
          <w:b/>
          <w:bCs/>
          <w:color w:val="auto"/>
          <w:szCs w:val="21"/>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color w:val="auto"/>
          <w:szCs w:val="21"/>
        </w:rPr>
      </w:pPr>
      <w:bookmarkStart w:id="117" w:name="_Toc15058862"/>
      <w:bookmarkStart w:id="118" w:name="_Toc2312"/>
      <w:bookmarkStart w:id="119" w:name="_Toc324404831"/>
      <w:bookmarkStart w:id="120" w:name="_Toc22085"/>
      <w:bookmarkStart w:id="121" w:name="_Toc992"/>
      <w:bookmarkStart w:id="122" w:name="_Toc35424903"/>
      <w:bookmarkStart w:id="123" w:name="_Toc35947186"/>
      <w:bookmarkStart w:id="124" w:name="_Toc35425069"/>
      <w:r>
        <w:rPr>
          <w:rFonts w:hint="eastAsia" w:ascii="宋体" w:hAnsi="宋体" w:cs="宋体"/>
          <w:color w:val="auto"/>
          <w:szCs w:val="21"/>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9"/>
        <w:rPr>
          <w:color w:val="auto"/>
        </w:rPr>
      </w:pPr>
      <w:bookmarkStart w:id="125" w:name="_Toc506107285"/>
      <w:bookmarkStart w:id="126" w:name="_Toc22327"/>
      <w:bookmarkStart w:id="127" w:name="_Toc7791"/>
      <w:bookmarkStart w:id="128" w:name="_Toc24360"/>
      <w:bookmarkStart w:id="129" w:name="_Toc15058863"/>
      <w:bookmarkStart w:id="130" w:name="_Toc23986"/>
      <w:bookmarkStart w:id="131" w:name="_Toc35425070"/>
      <w:bookmarkStart w:id="132" w:name="_Toc35947187"/>
      <w:bookmarkStart w:id="133" w:name="_Toc35424904"/>
      <w:r>
        <w:rPr>
          <w:rFonts w:hint="eastAsia"/>
          <w:color w:val="auto"/>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color w:val="auto"/>
          <w:szCs w:val="21"/>
        </w:rPr>
      </w:pPr>
      <w:bookmarkStart w:id="134" w:name="_Toc35424905"/>
      <w:bookmarkStart w:id="135" w:name="_Toc506107286"/>
      <w:bookmarkStart w:id="136" w:name="_Toc35425071"/>
      <w:bookmarkStart w:id="137" w:name="_Toc6370"/>
      <w:bookmarkStart w:id="138" w:name="_Toc15058864"/>
      <w:bookmarkStart w:id="139" w:name="_Toc13866"/>
      <w:bookmarkStart w:id="140" w:name="_Toc10744"/>
      <w:bookmarkStart w:id="141" w:name="_Toc35947188"/>
      <w:r>
        <w:rPr>
          <w:rFonts w:hint="eastAsia" w:ascii="宋体" w:hAnsi="宋体" w:cs="宋体"/>
          <w:b/>
          <w:bCs/>
          <w:color w:val="auto"/>
          <w:szCs w:val="21"/>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color w:val="auto"/>
        </w:rPr>
      </w:pPr>
      <w:bookmarkStart w:id="142" w:name="_Toc324404834"/>
      <w:bookmarkStart w:id="143" w:name="_Toc6207"/>
      <w:bookmarkStart w:id="144" w:name="_Toc152045548"/>
      <w:bookmarkStart w:id="145" w:name="_Toc152042324"/>
      <w:bookmarkStart w:id="146" w:name="_Toc246996193"/>
      <w:bookmarkStart w:id="147" w:name="_Toc31424"/>
      <w:bookmarkStart w:id="148" w:name="_Toc506107287"/>
      <w:bookmarkStart w:id="149" w:name="_Toc246996936"/>
      <w:bookmarkStart w:id="150" w:name="_Toc35947189"/>
      <w:bookmarkStart w:id="151" w:name="_Toc35424906"/>
      <w:bookmarkStart w:id="152" w:name="_Toc179632566"/>
      <w:bookmarkStart w:id="153" w:name="_Toc144974516"/>
      <w:bookmarkStart w:id="154" w:name="_Toc247085707"/>
      <w:bookmarkStart w:id="155" w:name="_Toc14180"/>
      <w:bookmarkStart w:id="156" w:name="_Toc296602438"/>
      <w:bookmarkStart w:id="157" w:name="_Toc15058865"/>
      <w:bookmarkStart w:id="158" w:name="_Toc35425072"/>
      <w:r>
        <w:rPr>
          <w:rFonts w:hint="eastAsia" w:ascii="宋体" w:hAnsi="宋体"/>
          <w:b/>
          <w:bCs/>
          <w:color w:val="auto"/>
        </w:rPr>
        <w:t>投标文件由资信部分、技术部分、商务部分三部分组成，按照招标文件格式要求进行编写。</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color w:val="auto"/>
          <w:szCs w:val="21"/>
        </w:rPr>
      </w:pPr>
      <w:bookmarkStart w:id="159" w:name="_Toc152045549"/>
      <w:bookmarkStart w:id="160" w:name="_Toc35425073"/>
      <w:bookmarkStart w:id="161" w:name="_Toc296602439"/>
      <w:bookmarkStart w:id="162" w:name="_Toc35424907"/>
      <w:bookmarkStart w:id="163" w:name="_Toc247085708"/>
      <w:bookmarkStart w:id="164" w:name="_Toc246996937"/>
      <w:bookmarkStart w:id="165" w:name="_Toc8930"/>
      <w:bookmarkStart w:id="166" w:name="_Toc152042325"/>
      <w:bookmarkStart w:id="167" w:name="_Toc15058866"/>
      <w:bookmarkStart w:id="168" w:name="_Toc324404835"/>
      <w:bookmarkStart w:id="169" w:name="_Toc24368"/>
      <w:bookmarkStart w:id="170" w:name="_Toc24128"/>
      <w:bookmarkStart w:id="171" w:name="_Toc35947190"/>
      <w:bookmarkStart w:id="172" w:name="_Toc246996194"/>
      <w:bookmarkStart w:id="173" w:name="_Toc144974517"/>
      <w:bookmarkStart w:id="174" w:name="_Toc506107288"/>
      <w:bookmarkStart w:id="175" w:name="_Toc179632567"/>
      <w:r>
        <w:rPr>
          <w:rFonts w:hint="eastAsia" w:ascii="宋体" w:hAnsi="宋体" w:cs="宋体"/>
          <w:color w:val="auto"/>
          <w:szCs w:val="21"/>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3.2.2投标人只允许有一个方案、一个报价。</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3.2.4投标报价应由法定代表人或被授权人签署。</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3.2.5投标人的报价不得高于本次招标最高限价，否则将作为无效投标处理。</w:t>
      </w:r>
    </w:p>
    <w:p>
      <w:pPr>
        <w:spacing w:line="440" w:lineRule="atLeast"/>
        <w:ind w:firstLine="422" w:firstLineChars="200"/>
        <w:outlineLvl w:val="2"/>
        <w:rPr>
          <w:rFonts w:ascii="宋体" w:hAnsi="宋体" w:cs="宋体"/>
          <w:b/>
          <w:bCs/>
          <w:color w:val="auto"/>
          <w:szCs w:val="21"/>
        </w:rPr>
      </w:pPr>
      <w:r>
        <w:rPr>
          <w:rFonts w:hint="eastAsia" w:ascii="宋体" w:hAnsi="宋体" w:cs="宋体"/>
          <w:b/>
          <w:bCs/>
          <w:color w:val="auto"/>
          <w:szCs w:val="21"/>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color w:val="auto"/>
          <w:szCs w:val="21"/>
        </w:rPr>
      </w:pPr>
      <w:bookmarkStart w:id="176" w:name="_Toc246996195"/>
      <w:bookmarkStart w:id="177" w:name="_Toc35425074"/>
      <w:bookmarkStart w:id="178" w:name="_Toc247085709"/>
      <w:bookmarkStart w:id="179" w:name="_Toc11832"/>
      <w:bookmarkStart w:id="180" w:name="_Toc35947191"/>
      <w:bookmarkStart w:id="181" w:name="_Toc144974518"/>
      <w:bookmarkStart w:id="182" w:name="_Toc324404836"/>
      <w:bookmarkStart w:id="183" w:name="_Toc15058867"/>
      <w:bookmarkStart w:id="184" w:name="_Toc179632568"/>
      <w:bookmarkStart w:id="185" w:name="_Toc296602440"/>
      <w:bookmarkStart w:id="186" w:name="_Toc506107289"/>
      <w:bookmarkStart w:id="187" w:name="_Toc152042326"/>
      <w:bookmarkStart w:id="188" w:name="_Toc246996938"/>
      <w:bookmarkStart w:id="189" w:name="_Toc152045550"/>
      <w:bookmarkStart w:id="190" w:name="_Toc35424908"/>
      <w:bookmarkStart w:id="191" w:name="_Toc7863"/>
      <w:bookmarkStart w:id="192" w:name="_Toc10052"/>
      <w:r>
        <w:rPr>
          <w:rFonts w:hint="eastAsia" w:ascii="宋体"/>
          <w:color w:val="auto"/>
          <w:szCs w:val="21"/>
        </w:rPr>
        <w:t>13.1 除投标人须知前附表另有规定外，投标有效期为30天。</w:t>
      </w:r>
    </w:p>
    <w:p>
      <w:pPr>
        <w:spacing w:line="440" w:lineRule="exact"/>
        <w:ind w:firstLine="420" w:firstLineChars="200"/>
        <w:rPr>
          <w:rFonts w:ascii="宋体"/>
          <w:color w:val="auto"/>
          <w:szCs w:val="21"/>
        </w:rPr>
      </w:pPr>
      <w:r>
        <w:rPr>
          <w:rFonts w:hint="eastAsia" w:ascii="宋体"/>
          <w:color w:val="auto"/>
          <w:szCs w:val="21"/>
        </w:rPr>
        <w:t>13.2在投标有效期内，投标人撤销或修改其投标文件的，应承担招标文件和法律规定的责任。</w:t>
      </w:r>
    </w:p>
    <w:p>
      <w:pPr>
        <w:spacing w:line="440" w:lineRule="exact"/>
        <w:ind w:firstLine="420" w:firstLineChars="200"/>
        <w:rPr>
          <w:rFonts w:ascii="宋体"/>
          <w:color w:val="auto"/>
          <w:szCs w:val="21"/>
        </w:rPr>
      </w:pPr>
      <w:r>
        <w:rPr>
          <w:rFonts w:hint="eastAsia" w:ascii="宋体"/>
          <w:color w:val="auto"/>
          <w:szCs w:val="21"/>
        </w:rPr>
        <w:t>13.3出现特殊情况需要延长投标有效期的，采购人以书面形式通知所有投标人延长投标有效期。</w:t>
      </w:r>
    </w:p>
    <w:p>
      <w:pPr>
        <w:spacing w:line="440" w:lineRule="atLeast"/>
        <w:ind w:firstLine="422" w:firstLineChars="200"/>
        <w:outlineLvl w:val="2"/>
        <w:rPr>
          <w:rFonts w:hint="eastAsia" w:ascii="宋体" w:hAnsi="宋体" w:eastAsia="宋体" w:cs="宋体"/>
          <w:b/>
          <w:bCs/>
          <w:color w:val="auto"/>
          <w:szCs w:val="21"/>
          <w:lang w:eastAsia="zh-CN"/>
        </w:rPr>
      </w:pPr>
      <w:r>
        <w:rPr>
          <w:rFonts w:hint="eastAsia" w:ascii="宋体" w:hAnsi="宋体" w:cs="宋体"/>
          <w:b/>
          <w:bCs/>
          <w:color w:val="auto"/>
          <w:szCs w:val="21"/>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color w:val="auto"/>
          <w:szCs w:val="21"/>
          <w:lang w:eastAsia="zh-CN"/>
        </w:rPr>
        <w:t>（</w:t>
      </w:r>
      <w:r>
        <w:rPr>
          <w:rFonts w:hint="eastAsia" w:ascii="宋体" w:hAnsi="宋体" w:cs="宋体"/>
          <w:b/>
          <w:bCs/>
          <w:color w:val="auto"/>
          <w:szCs w:val="21"/>
          <w:lang w:val="en-US" w:eastAsia="zh-CN"/>
        </w:rPr>
        <w:t>不要求</w:t>
      </w:r>
      <w:r>
        <w:rPr>
          <w:rFonts w:hint="eastAsia" w:ascii="宋体" w:hAnsi="宋体" w:cs="宋体"/>
          <w:b/>
          <w:bCs/>
          <w:color w:val="auto"/>
          <w:szCs w:val="21"/>
          <w:lang w:eastAsia="zh-CN"/>
        </w:rPr>
        <w:t>）</w:t>
      </w:r>
    </w:p>
    <w:bookmarkEnd w:id="191"/>
    <w:bookmarkEnd w:id="192"/>
    <w:p>
      <w:pPr>
        <w:spacing w:line="440" w:lineRule="atLeast"/>
        <w:ind w:firstLine="422" w:firstLineChars="200"/>
        <w:outlineLvl w:val="2"/>
        <w:rPr>
          <w:rFonts w:ascii="宋体" w:hAnsi="宋体" w:cs="宋体"/>
          <w:b/>
          <w:bCs/>
          <w:color w:val="auto"/>
          <w:szCs w:val="21"/>
        </w:rPr>
      </w:pPr>
      <w:bookmarkStart w:id="193" w:name="_Toc18845"/>
      <w:bookmarkStart w:id="194" w:name="_Toc15058868"/>
      <w:bookmarkStart w:id="195" w:name="_Toc506107290"/>
      <w:bookmarkStart w:id="196" w:name="_Toc35947192"/>
      <w:bookmarkStart w:id="197" w:name="_Toc296602442"/>
      <w:bookmarkStart w:id="198" w:name="_Toc2570"/>
      <w:bookmarkStart w:id="199" w:name="_Toc18536"/>
      <w:bookmarkStart w:id="200" w:name="_Toc35424909"/>
      <w:bookmarkStart w:id="201" w:name="_Toc35425075"/>
      <w:bookmarkStart w:id="202" w:name="_Toc324404837"/>
      <w:bookmarkStart w:id="203" w:name="_Toc152045553"/>
      <w:bookmarkStart w:id="204" w:name="_Toc179632571"/>
      <w:bookmarkStart w:id="205" w:name="_Toc247085711"/>
      <w:bookmarkStart w:id="206" w:name="_Toc246996940"/>
      <w:bookmarkStart w:id="207" w:name="_Toc144974521"/>
      <w:bookmarkStart w:id="208" w:name="_Toc246996197"/>
      <w:bookmarkStart w:id="209" w:name="_Toc152042329"/>
      <w:r>
        <w:rPr>
          <w:rFonts w:hint="eastAsia" w:ascii="宋体" w:hAnsi="宋体" w:cs="宋体"/>
          <w:b/>
          <w:bCs/>
          <w:color w:val="auto"/>
          <w:szCs w:val="21"/>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color w:val="auto"/>
          <w:szCs w:val="21"/>
        </w:rPr>
      </w:pPr>
      <w:bookmarkStart w:id="210" w:name="_Toc246996199"/>
      <w:bookmarkStart w:id="211" w:name="_Toc324404838"/>
      <w:bookmarkStart w:id="212" w:name="_Toc246996942"/>
      <w:bookmarkStart w:id="213" w:name="_Toc144974523"/>
      <w:bookmarkStart w:id="214" w:name="_Toc152042331"/>
      <w:bookmarkStart w:id="215" w:name="_Toc247085713"/>
      <w:bookmarkStart w:id="216" w:name="_Toc152045555"/>
      <w:bookmarkStart w:id="217" w:name="_Toc179632573"/>
      <w:r>
        <w:rPr>
          <w:rFonts w:hint="eastAsia" w:ascii="宋体" w:hAnsi="宋体" w:cs="宋体"/>
          <w:color w:val="auto"/>
          <w:szCs w:val="21"/>
        </w:rPr>
        <w:t>3.5.1投标文件应按“投标文件格式”进行编写，如有必要，可以增加附页，作为投标文件的组成部分。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3.5.5 投标文件的正本与副本应分别装订成册，具体装订要求见投标人须知前附表规定。</w:t>
      </w:r>
    </w:p>
    <w:p>
      <w:pPr>
        <w:pStyle w:val="9"/>
        <w:rPr>
          <w:color w:val="auto"/>
        </w:rPr>
      </w:pPr>
      <w:bookmarkStart w:id="218" w:name="_Toc8633"/>
      <w:bookmarkStart w:id="219" w:name="_Toc506107291"/>
      <w:bookmarkStart w:id="220" w:name="_Toc35947193"/>
      <w:bookmarkStart w:id="221" w:name="_Toc21503"/>
      <w:bookmarkStart w:id="222" w:name="_Toc18579"/>
      <w:bookmarkStart w:id="223" w:name="_Toc35425076"/>
      <w:bookmarkStart w:id="224" w:name="_Toc15058869"/>
      <w:bookmarkStart w:id="225" w:name="_Toc35424910"/>
      <w:bookmarkStart w:id="226" w:name="_Toc8706"/>
      <w:r>
        <w:rPr>
          <w:rFonts w:hint="eastAsia"/>
          <w:color w:val="auto"/>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361" w:firstLineChars="200"/>
        <w:outlineLvl w:val="2"/>
        <w:rPr>
          <w:rFonts w:hint="eastAsia" w:ascii="宋体" w:hAnsi="宋体" w:eastAsia="宋体" w:cs="宋体"/>
          <w:b/>
          <w:bCs/>
          <w:color w:val="auto"/>
          <w:sz w:val="18"/>
          <w:szCs w:val="18"/>
        </w:rPr>
      </w:pPr>
      <w:bookmarkStart w:id="227" w:name="_Toc4607"/>
      <w:bookmarkStart w:id="228" w:name="_Toc144974524"/>
      <w:bookmarkStart w:id="229" w:name="_Toc179632574"/>
      <w:bookmarkStart w:id="230" w:name="_Toc246996943"/>
      <w:bookmarkStart w:id="231" w:name="_Toc296602444"/>
      <w:bookmarkStart w:id="232" w:name="_Toc1347"/>
      <w:bookmarkStart w:id="233" w:name="_Toc152045556"/>
      <w:bookmarkStart w:id="234" w:name="_Toc30189"/>
      <w:bookmarkStart w:id="235" w:name="_Toc247085714"/>
      <w:bookmarkStart w:id="236" w:name="_Toc246996200"/>
      <w:bookmarkStart w:id="237" w:name="_Toc152042332"/>
      <w:bookmarkStart w:id="238" w:name="_Toc324404839"/>
      <w:bookmarkStart w:id="239" w:name="_Toc152045559"/>
      <w:bookmarkStart w:id="240" w:name="_Toc246996203"/>
      <w:bookmarkStart w:id="241" w:name="_Toc247085717"/>
      <w:bookmarkStart w:id="242" w:name="_Toc179632577"/>
      <w:bookmarkStart w:id="243" w:name="_Toc144974527"/>
      <w:bookmarkStart w:id="244" w:name="_Toc506107295"/>
      <w:bookmarkStart w:id="245" w:name="_Toc152042335"/>
      <w:bookmarkStart w:id="246" w:name="_Toc246996946"/>
      <w:bookmarkStart w:id="247" w:name="_Toc324404842"/>
      <w:bookmarkStart w:id="248" w:name="_Toc21611136"/>
      <w:bookmarkStart w:id="249" w:name="_Toc152042338"/>
      <w:bookmarkStart w:id="250" w:name="_Toc15058884"/>
      <w:bookmarkStart w:id="251" w:name="_Toc246996206"/>
      <w:bookmarkStart w:id="252" w:name="_Toc152045562"/>
      <w:bookmarkStart w:id="253" w:name="_Toc324404846"/>
      <w:bookmarkStart w:id="254" w:name="_Toc35425085"/>
      <w:bookmarkStart w:id="255" w:name="_Toc144974530"/>
      <w:bookmarkStart w:id="256" w:name="_Toc506107299"/>
      <w:bookmarkStart w:id="257" w:name="_Toc35947202"/>
      <w:bookmarkStart w:id="258" w:name="_Toc179632580"/>
      <w:bookmarkStart w:id="259" w:name="_Toc247085720"/>
      <w:bookmarkStart w:id="260" w:name="_Toc35424919"/>
      <w:bookmarkStart w:id="261" w:name="_Toc246996949"/>
      <w:r>
        <w:rPr>
          <w:rFonts w:hint="eastAsia" w:ascii="宋体" w:hAnsi="宋体" w:eastAsia="宋体" w:cs="宋体"/>
          <w:b/>
          <w:bCs/>
          <w:color w:val="auto"/>
          <w:sz w:val="18"/>
          <w:szCs w:val="18"/>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color w:val="auto"/>
          <w:szCs w:val="21"/>
        </w:rPr>
      </w:pPr>
      <w:bookmarkStart w:id="262" w:name="_Toc246996201"/>
      <w:bookmarkStart w:id="263" w:name="_Toc152045557"/>
      <w:bookmarkStart w:id="264" w:name="_Toc247085715"/>
      <w:bookmarkStart w:id="265" w:name="_Toc144974525"/>
      <w:bookmarkStart w:id="266" w:name="_Toc246996944"/>
      <w:bookmarkStart w:id="267" w:name="_Toc152042333"/>
      <w:bookmarkStart w:id="268" w:name="_Toc179632575"/>
      <w:r>
        <w:rPr>
          <w:rFonts w:hint="eastAsia" w:ascii="宋体" w:hAnsi="宋体" w:cs="宋体"/>
          <w:color w:val="auto"/>
          <w:szCs w:val="21"/>
        </w:rPr>
        <w:t>4.1.1 投标文件应进行密封包装，并在封套上加盖投标人单位章。</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4.1.2 投标文件封套上应写明的内容及具体密封要求见投标人须知前附表。</w:t>
      </w:r>
    </w:p>
    <w:p>
      <w:pPr>
        <w:spacing w:line="440" w:lineRule="atLeast"/>
        <w:ind w:firstLine="361" w:firstLineChars="200"/>
        <w:outlineLvl w:val="2"/>
        <w:rPr>
          <w:rFonts w:hint="eastAsia" w:ascii="宋体" w:hAnsi="宋体" w:eastAsia="宋体" w:cs="宋体"/>
          <w:b/>
          <w:bCs/>
          <w:color w:val="auto"/>
          <w:sz w:val="18"/>
          <w:szCs w:val="18"/>
        </w:rPr>
      </w:pPr>
      <w:bookmarkStart w:id="269" w:name="_Toc296602445"/>
      <w:bookmarkStart w:id="270" w:name="_Toc28392"/>
      <w:bookmarkStart w:id="271" w:name="_Toc324404840"/>
      <w:bookmarkStart w:id="272" w:name="_Toc14812"/>
      <w:bookmarkStart w:id="273" w:name="_Toc4531"/>
      <w:r>
        <w:rPr>
          <w:rFonts w:hint="eastAsia" w:ascii="宋体" w:hAnsi="宋体" w:eastAsia="宋体" w:cs="宋体"/>
          <w:b/>
          <w:bCs/>
          <w:color w:val="auto"/>
          <w:sz w:val="18"/>
          <w:szCs w:val="18"/>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color w:val="auto"/>
          <w:szCs w:val="21"/>
        </w:rPr>
      </w:pPr>
      <w:r>
        <w:rPr>
          <w:rFonts w:hint="eastAsia" w:ascii="宋体" w:hAnsi="宋体" w:cs="宋体"/>
          <w:color w:val="auto"/>
          <w:szCs w:val="21"/>
        </w:rPr>
        <w:t>4.2.1投标人应在投标人须知前附表规定的投标截止时间前递交投标文件。</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4.2.2 投标人递交投标文件的地点：见投标人须知前附表。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4.2.3 除投标人须知前附表另有规定外，投标人所递交的投标文件不予退还。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4.2.4 逾期送达的或者未送达指定地点的投标文件，采购人不予受理。</w:t>
      </w:r>
    </w:p>
    <w:p>
      <w:pPr>
        <w:spacing w:line="440" w:lineRule="atLeast"/>
        <w:ind w:firstLine="361" w:firstLineChars="200"/>
        <w:outlineLvl w:val="2"/>
        <w:rPr>
          <w:rFonts w:ascii="宋体" w:hAnsi="宋体" w:cs="宋体"/>
          <w:b/>
          <w:bCs/>
          <w:color w:val="auto"/>
          <w:sz w:val="18"/>
          <w:szCs w:val="18"/>
        </w:rPr>
      </w:pPr>
      <w:bookmarkStart w:id="274" w:name="_Toc20500"/>
      <w:bookmarkStart w:id="275" w:name="_Toc144974526"/>
      <w:bookmarkStart w:id="276" w:name="_Toc246996202"/>
      <w:bookmarkStart w:id="277" w:name="_Toc152045558"/>
      <w:bookmarkStart w:id="278" w:name="_Toc152042334"/>
      <w:bookmarkStart w:id="279" w:name="_Toc247085716"/>
      <w:bookmarkStart w:id="280" w:name="_Toc246996945"/>
      <w:bookmarkStart w:id="281" w:name="_Toc179632576"/>
      <w:bookmarkStart w:id="282" w:name="_Toc324404841"/>
      <w:bookmarkStart w:id="283" w:name="_Toc16808"/>
      <w:bookmarkStart w:id="284" w:name="_Toc25278"/>
      <w:bookmarkStart w:id="285" w:name="_Toc296602446"/>
      <w:r>
        <w:rPr>
          <w:rFonts w:hint="eastAsia" w:ascii="宋体" w:hAnsi="宋体" w:cs="宋体"/>
          <w:b/>
          <w:bCs/>
          <w:color w:val="auto"/>
          <w:sz w:val="18"/>
          <w:szCs w:val="18"/>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color w:val="auto"/>
          <w:szCs w:val="21"/>
        </w:rPr>
      </w:pPr>
      <w:r>
        <w:rPr>
          <w:rFonts w:hint="eastAsia" w:ascii="宋体" w:hAnsi="宋体" w:cs="宋体"/>
          <w:color w:val="auto"/>
          <w:szCs w:val="21"/>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4.3.2 投标人修改或撤回已递交投标文件的书面通知应按照本章第3.5.3项的要求签字或盖章。采购人收到书面通知后，投标人签到登记。</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4.3.4 修改的内容为投标文件的组成部分。修改的投标文件应按照本章第3条、第4条规定进行编制、密封、标记和递交，并标明“修改”字样。</w:t>
      </w:r>
    </w:p>
    <w:p>
      <w:pPr>
        <w:pStyle w:val="9"/>
        <w:rPr>
          <w:color w:val="auto"/>
        </w:rPr>
      </w:pPr>
      <w:bookmarkStart w:id="286" w:name="_Toc32525"/>
      <w:bookmarkStart w:id="287" w:name="_Toc21875"/>
      <w:bookmarkStart w:id="288" w:name="_Toc29955"/>
      <w:bookmarkStart w:id="289" w:name="_Toc440"/>
      <w:r>
        <w:rPr>
          <w:rFonts w:hint="eastAsia"/>
          <w:color w:val="auto"/>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0" w:firstLineChars="200"/>
        <w:rPr>
          <w:rFonts w:hint="eastAsia" w:ascii="宋体" w:hAnsi="宋体" w:eastAsia="宋体" w:cs="宋体"/>
          <w:color w:val="auto"/>
          <w:szCs w:val="21"/>
        </w:rPr>
      </w:pPr>
      <w:bookmarkStart w:id="290" w:name="_Toc25571"/>
      <w:bookmarkStart w:id="291" w:name="_Toc13541"/>
      <w:bookmarkStart w:id="292" w:name="_Toc12593"/>
      <w:bookmarkStart w:id="293" w:name="_Toc32566"/>
      <w:r>
        <w:rPr>
          <w:rFonts w:hint="eastAsia" w:ascii="宋体" w:hAnsi="宋体" w:eastAsia="宋体" w:cs="宋体"/>
          <w:color w:val="auto"/>
          <w:szCs w:val="21"/>
          <w:lang w:val="en-US" w:eastAsia="zh-CN"/>
        </w:rPr>
        <w:t>5.1</w:t>
      </w:r>
      <w:r>
        <w:rPr>
          <w:rFonts w:hint="eastAsia" w:ascii="宋体" w:hAnsi="宋体" w:eastAsia="宋体" w:cs="宋体"/>
          <w:color w:val="auto"/>
          <w:szCs w:val="21"/>
        </w:rPr>
        <w:t>招标人按本须知要求提交投标文件的截止时间和地点公开开标，并邀请相关监管部门参加。</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开标程序</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开标会议由采购代理机构主持。</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）公布投标截止时间前，递交投标文件的投标人名称</w:t>
      </w:r>
      <w:r>
        <w:rPr>
          <w:rFonts w:hint="eastAsia" w:ascii="宋体" w:hAnsi="宋体" w:eastAsia="宋体" w:cs="宋体"/>
          <w:color w:val="auto"/>
          <w:szCs w:val="21"/>
          <w:lang w:val="en-US" w:eastAsia="zh-CN"/>
        </w:rPr>
        <w:t>及数量</w:t>
      </w:r>
      <w:r>
        <w:rPr>
          <w:rFonts w:hint="eastAsia" w:ascii="宋体" w:hAnsi="宋体" w:eastAsia="宋体" w:cs="宋体"/>
          <w:color w:val="auto"/>
          <w:szCs w:val="21"/>
        </w:rPr>
        <w:t xml:space="preserve">；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）投标人在投标截止时间后，拆分标书</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报评委处评审</w:t>
      </w:r>
      <w:r>
        <w:rPr>
          <w:rFonts w:hint="eastAsia" w:ascii="宋体" w:hAnsi="宋体" w:eastAsia="宋体" w:cs="宋体"/>
          <w:color w:val="auto"/>
          <w:szCs w:val="21"/>
        </w:rPr>
        <w:t>；</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）公布投标人投标报价、</w:t>
      </w:r>
      <w:r>
        <w:rPr>
          <w:rFonts w:hint="eastAsia" w:ascii="宋体" w:hAnsi="宋体" w:eastAsia="宋体" w:cs="宋体"/>
          <w:color w:val="auto"/>
          <w:szCs w:val="21"/>
          <w:lang w:val="en-US" w:eastAsia="zh-CN"/>
        </w:rPr>
        <w:t>供货期等</w:t>
      </w:r>
      <w:r>
        <w:rPr>
          <w:rFonts w:hint="eastAsia" w:ascii="宋体" w:hAnsi="宋体" w:eastAsia="宋体" w:cs="宋体"/>
          <w:color w:val="auto"/>
          <w:szCs w:val="21"/>
        </w:rPr>
        <w:t>内容，并记录在案；</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）开标结束。</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多标包项目按照标包顺序按以上程序依次开标。</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w:t>
      </w:r>
      <w:r>
        <w:rPr>
          <w:rFonts w:hint="eastAsia" w:ascii="宋体" w:hAnsi="宋体" w:eastAsia="宋体" w:cs="宋体"/>
          <w:color w:val="auto"/>
          <w:szCs w:val="21"/>
        </w:rPr>
        <w:t>. 开评标异常情况处理</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w:t>
      </w:r>
      <w:r>
        <w:rPr>
          <w:rFonts w:hint="eastAsia" w:ascii="宋体" w:hAnsi="宋体" w:eastAsia="宋体" w:cs="宋体"/>
          <w:color w:val="auto"/>
          <w:szCs w:val="21"/>
        </w:rPr>
        <w:t xml:space="preserve">.1重新招标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有下列情形之一的，招标人将重新招标：</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(1)投标截止时间止，投标人少于三个的； </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(2)经评审小组评审后否决所有投标的；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(3)出现影响采购公正的违法、违规行为的；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(4)投标人的报价均脱离实际且无充分证据的；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rPr>
        <w:t>(5)因重大变故，采购任务取消的。</w:t>
      </w:r>
    </w:p>
    <w:p>
      <w:pPr>
        <w:spacing w:line="440" w:lineRule="atLeas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5.3.2</w:t>
      </w:r>
      <w:r>
        <w:rPr>
          <w:rFonts w:hint="eastAsia" w:ascii="宋体" w:hAnsi="宋体" w:eastAsia="宋体" w:cs="宋体"/>
          <w:color w:val="auto"/>
          <w:szCs w:val="21"/>
        </w:rPr>
        <w:t>变更采购方式</w:t>
      </w:r>
    </w:p>
    <w:p>
      <w:pPr>
        <w:spacing w:line="440" w:lineRule="atLeast"/>
        <w:ind w:firstLine="420" w:firstLineChars="200"/>
        <w:rPr>
          <w:rFonts w:hint="eastAsia" w:ascii="宋体" w:hAnsi="宋体" w:eastAsia="宋体" w:cs="宋体"/>
          <w:color w:val="auto"/>
          <w:szCs w:val="21"/>
        </w:rPr>
      </w:pPr>
      <w:bookmarkStart w:id="294" w:name="_Toc449028872"/>
      <w:r>
        <w:rPr>
          <w:rFonts w:hint="eastAsia" w:ascii="宋体" w:hAnsi="宋体" w:eastAsia="宋体" w:cs="宋体"/>
          <w:color w:val="auto"/>
          <w:szCs w:val="21"/>
        </w:rPr>
        <w:t>按照滁州市公管局和财政局相关规定执行。</w:t>
      </w:r>
      <w:bookmarkEnd w:id="294"/>
    </w:p>
    <w:p>
      <w:pPr>
        <w:pStyle w:val="9"/>
        <w:rPr>
          <w:color w:val="auto"/>
        </w:rPr>
      </w:pPr>
      <w:r>
        <w:rPr>
          <w:rFonts w:hint="eastAsia"/>
          <w:color w:val="auto"/>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pPr>
        <w:spacing w:line="440" w:lineRule="atLeast"/>
        <w:ind w:firstLine="422" w:firstLineChars="200"/>
        <w:outlineLvl w:val="2"/>
        <w:rPr>
          <w:rFonts w:ascii="宋体" w:hAnsi="宋体" w:cs="宋体"/>
          <w:b/>
          <w:bCs/>
          <w:color w:val="auto"/>
          <w:szCs w:val="21"/>
        </w:rPr>
      </w:pPr>
      <w:bookmarkStart w:id="295" w:name="_Toc296602452"/>
      <w:bookmarkStart w:id="296" w:name="_Toc27158"/>
      <w:bookmarkStart w:id="297" w:name="_Toc15058885"/>
      <w:bookmarkStart w:id="298" w:name="_Toc506107300"/>
      <w:bookmarkStart w:id="299" w:name="_Toc246996950"/>
      <w:bookmarkStart w:id="300" w:name="_Toc247085721"/>
      <w:bookmarkStart w:id="301" w:name="_Toc152045563"/>
      <w:bookmarkStart w:id="302" w:name="_Toc35424920"/>
      <w:bookmarkStart w:id="303" w:name="_Toc23087"/>
      <w:bookmarkStart w:id="304" w:name="_Toc14047"/>
      <w:bookmarkStart w:id="305" w:name="_Toc179632581"/>
      <w:bookmarkStart w:id="306" w:name="_Toc324404847"/>
      <w:bookmarkStart w:id="307" w:name="_Toc35947203"/>
      <w:bookmarkStart w:id="308" w:name="_Toc152042339"/>
      <w:bookmarkStart w:id="309" w:name="_Toc246996207"/>
      <w:bookmarkStart w:id="310" w:name="_Toc35425086"/>
      <w:bookmarkStart w:id="311" w:name="_Toc144974531"/>
      <w:r>
        <w:rPr>
          <w:rFonts w:hint="eastAsia" w:ascii="宋体" w:hAnsi="宋体" w:cs="宋体"/>
          <w:b/>
          <w:bCs/>
          <w:color w:val="auto"/>
          <w:szCs w:val="21"/>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atLeast"/>
        <w:ind w:firstLine="420" w:firstLineChars="200"/>
        <w:rPr>
          <w:rFonts w:ascii="宋体" w:hAnsi="宋体" w:cs="宋体"/>
          <w:color w:val="auto"/>
          <w:szCs w:val="21"/>
        </w:rPr>
      </w:pPr>
      <w:r>
        <w:rPr>
          <w:rFonts w:hint="eastAsia" w:ascii="宋体" w:hAnsi="宋体" w:cs="宋体"/>
          <w:color w:val="auto"/>
          <w:szCs w:val="21"/>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6.1.2 评标委员会成员有下列情形之一的，应当回避：</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（1）投标人或投标人主要负责人的近亲属；</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（2）项目主管部门或者行政监督部门的人员；</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（3）与投标人有经济利益关系；</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（5）与投标人有其他利害关系。</w:t>
      </w:r>
    </w:p>
    <w:p>
      <w:pPr>
        <w:spacing w:line="440" w:lineRule="atLeast"/>
        <w:ind w:firstLine="422" w:firstLineChars="200"/>
        <w:outlineLvl w:val="2"/>
        <w:rPr>
          <w:rFonts w:ascii="宋体" w:hAnsi="宋体" w:cs="宋体"/>
          <w:b/>
          <w:bCs/>
          <w:color w:val="auto"/>
          <w:szCs w:val="21"/>
        </w:rPr>
      </w:pPr>
      <w:bookmarkStart w:id="312" w:name="_Toc506107301"/>
      <w:bookmarkStart w:id="313" w:name="_Toc179632582"/>
      <w:bookmarkStart w:id="314" w:name="_Toc152045564"/>
      <w:bookmarkStart w:id="315" w:name="_Toc296602453"/>
      <w:bookmarkStart w:id="316" w:name="_Toc144974532"/>
      <w:bookmarkStart w:id="317" w:name="_Toc35424921"/>
      <w:bookmarkStart w:id="318" w:name="_Toc35947204"/>
      <w:bookmarkStart w:id="319" w:name="_Toc324404848"/>
      <w:bookmarkStart w:id="320" w:name="_Toc152042340"/>
      <w:bookmarkStart w:id="321" w:name="_Toc15058886"/>
      <w:bookmarkStart w:id="322" w:name="_Toc21925"/>
      <w:bookmarkStart w:id="323" w:name="_Toc246996951"/>
      <w:bookmarkStart w:id="324" w:name="_Toc30301"/>
      <w:bookmarkStart w:id="325" w:name="_Toc35425087"/>
      <w:bookmarkStart w:id="326" w:name="_Toc246996208"/>
      <w:bookmarkStart w:id="327" w:name="_Toc28431"/>
      <w:bookmarkStart w:id="328" w:name="_Toc247085722"/>
      <w:r>
        <w:rPr>
          <w:rFonts w:hint="eastAsia" w:ascii="宋体" w:hAnsi="宋体" w:cs="宋体"/>
          <w:b/>
          <w:bCs/>
          <w:color w:val="auto"/>
          <w:szCs w:val="21"/>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评标活动遵循公平、公正、科学和择优的原则。</w:t>
      </w:r>
    </w:p>
    <w:p>
      <w:pPr>
        <w:spacing w:line="440" w:lineRule="atLeast"/>
        <w:ind w:firstLine="422" w:firstLineChars="200"/>
        <w:outlineLvl w:val="2"/>
        <w:rPr>
          <w:rFonts w:ascii="宋体" w:hAnsi="宋体" w:cs="宋体"/>
          <w:b/>
          <w:bCs/>
          <w:color w:val="auto"/>
          <w:szCs w:val="21"/>
        </w:rPr>
      </w:pPr>
      <w:bookmarkStart w:id="329" w:name="_Toc152042341"/>
      <w:bookmarkStart w:id="330" w:name="_Toc35424922"/>
      <w:bookmarkStart w:id="331" w:name="_Toc152045565"/>
      <w:bookmarkStart w:id="332" w:name="_Toc246996209"/>
      <w:bookmarkStart w:id="333" w:name="_Toc506107302"/>
      <w:bookmarkStart w:id="334" w:name="_Toc179632583"/>
      <w:bookmarkStart w:id="335" w:name="_Toc324404849"/>
      <w:bookmarkStart w:id="336" w:name="_Toc296602454"/>
      <w:bookmarkStart w:id="337" w:name="_Toc247085723"/>
      <w:bookmarkStart w:id="338" w:name="_Toc9158"/>
      <w:bookmarkStart w:id="339" w:name="_Toc246996952"/>
      <w:bookmarkStart w:id="340" w:name="_Toc35425088"/>
      <w:bookmarkStart w:id="341" w:name="_Toc15058887"/>
      <w:bookmarkStart w:id="342" w:name="_Toc35947205"/>
      <w:bookmarkStart w:id="343" w:name="_Toc20754"/>
      <w:bookmarkStart w:id="344" w:name="_Toc9695"/>
      <w:bookmarkStart w:id="345" w:name="_Toc144974533"/>
      <w:r>
        <w:rPr>
          <w:rFonts w:hint="eastAsia" w:ascii="宋体" w:hAnsi="宋体" w:cs="宋体"/>
          <w:b/>
          <w:bCs/>
          <w:color w:val="auto"/>
          <w:szCs w:val="21"/>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color w:val="auto"/>
          <w:szCs w:val="21"/>
        </w:rPr>
      </w:pPr>
      <w:bookmarkStart w:id="346" w:name="_Toc152042342"/>
      <w:bookmarkStart w:id="347" w:name="_Toc246996953"/>
      <w:bookmarkStart w:id="348" w:name="_Toc246996210"/>
      <w:bookmarkStart w:id="349" w:name="_Toc144974534"/>
      <w:bookmarkStart w:id="350" w:name="_Toc179632584"/>
      <w:bookmarkStart w:id="351" w:name="_Toc152045566"/>
      <w:bookmarkStart w:id="352" w:name="_Toc247085724"/>
      <w:bookmarkStart w:id="353" w:name="_Toc324404850"/>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w:t>
      </w:r>
      <w:bookmarkStart w:id="354" w:name="_Toc15727"/>
      <w:bookmarkStart w:id="355" w:name="_Toc10567"/>
      <w:bookmarkStart w:id="356" w:name="_Toc35424923"/>
      <w:bookmarkStart w:id="357" w:name="_Toc21161"/>
      <w:bookmarkStart w:id="358" w:name="_Toc35947206"/>
      <w:bookmarkStart w:id="359" w:name="_Toc15037"/>
      <w:bookmarkStart w:id="360" w:name="_Toc506107303"/>
      <w:bookmarkStart w:id="361" w:name="_Toc15058888"/>
      <w:bookmarkStart w:id="362" w:name="_Toc35425089"/>
    </w:p>
    <w:p>
      <w:pPr>
        <w:pStyle w:val="9"/>
        <w:rPr>
          <w:color w:val="auto"/>
        </w:rPr>
      </w:pPr>
      <w:r>
        <w:rPr>
          <w:rFonts w:hint="eastAsia"/>
          <w:color w:val="auto"/>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2" w:firstLineChars="200"/>
        <w:outlineLvl w:val="2"/>
        <w:rPr>
          <w:rFonts w:ascii="宋体" w:hAnsi="宋体" w:cs="宋体"/>
          <w:b/>
          <w:bCs/>
          <w:color w:val="auto"/>
          <w:szCs w:val="21"/>
        </w:rPr>
      </w:pPr>
      <w:bookmarkStart w:id="363" w:name="_Toc144974535"/>
      <w:bookmarkStart w:id="364" w:name="_Toc252"/>
      <w:bookmarkStart w:id="365" w:name="_Toc84"/>
      <w:bookmarkStart w:id="366" w:name="_Toc35425090"/>
      <w:bookmarkStart w:id="367" w:name="_Toc506107304"/>
      <w:bookmarkStart w:id="368" w:name="_Toc246996211"/>
      <w:bookmarkStart w:id="369" w:name="_Toc324404851"/>
      <w:bookmarkStart w:id="370" w:name="_Toc246996954"/>
      <w:bookmarkStart w:id="371" w:name="_Toc296602456"/>
      <w:bookmarkStart w:id="372" w:name="_Toc15058889"/>
      <w:bookmarkStart w:id="373" w:name="_Toc1037"/>
      <w:bookmarkStart w:id="374" w:name="_Toc35424924"/>
      <w:bookmarkStart w:id="375" w:name="_Toc152045567"/>
      <w:bookmarkStart w:id="376" w:name="_Toc152042343"/>
      <w:bookmarkStart w:id="377" w:name="_Toc247085725"/>
      <w:bookmarkStart w:id="378" w:name="_Toc35947207"/>
      <w:bookmarkStart w:id="379" w:name="_Toc179632585"/>
      <w:r>
        <w:rPr>
          <w:rFonts w:hint="eastAsia" w:ascii="宋体" w:hAnsi="宋体" w:cs="宋体"/>
          <w:b/>
          <w:bCs/>
          <w:color w:val="auto"/>
          <w:szCs w:val="21"/>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color w:val="auto"/>
          <w:szCs w:val="21"/>
        </w:rPr>
      </w:pPr>
      <w:bookmarkStart w:id="380" w:name="_Toc324404852"/>
      <w:bookmarkStart w:id="381" w:name="_Toc296602457"/>
      <w:r>
        <w:rPr>
          <w:rFonts w:hint="eastAsia" w:ascii="宋体" w:hAnsi="宋体" w:cs="宋体"/>
          <w:color w:val="auto"/>
          <w:szCs w:val="21"/>
        </w:rPr>
        <w:t>除投标人须知前附表规定评标委员会直接确定中标人外，采购人依据评标委员会推荐的中标候选人确定中标人，评标委员会推荐中标候选人的人数见投标人须知前附表。</w:t>
      </w:r>
    </w:p>
    <w:bookmarkEnd w:id="380"/>
    <w:bookmarkEnd w:id="381"/>
    <w:p>
      <w:pPr>
        <w:spacing w:line="440" w:lineRule="atLeast"/>
        <w:ind w:firstLine="422" w:firstLineChars="200"/>
        <w:outlineLvl w:val="2"/>
        <w:rPr>
          <w:rFonts w:ascii="宋体" w:hAnsi="宋体" w:cs="宋体"/>
          <w:b/>
          <w:bCs/>
          <w:color w:val="auto"/>
          <w:szCs w:val="21"/>
        </w:rPr>
      </w:pPr>
      <w:bookmarkStart w:id="382" w:name="_Toc506107306"/>
      <w:bookmarkStart w:id="383" w:name="_Toc35947210"/>
      <w:bookmarkStart w:id="384" w:name="_Toc324404853"/>
      <w:bookmarkStart w:id="385" w:name="_Toc296602458"/>
      <w:bookmarkStart w:id="386" w:name="_Toc18325"/>
      <w:bookmarkStart w:id="387" w:name="_Toc246996212"/>
      <w:bookmarkStart w:id="388" w:name="_Toc246996955"/>
      <w:bookmarkStart w:id="389" w:name="_Toc35425093"/>
      <w:bookmarkStart w:id="390" w:name="_Toc152045568"/>
      <w:bookmarkStart w:id="391" w:name="_Toc179632586"/>
      <w:bookmarkStart w:id="392" w:name="_Toc15058891"/>
      <w:bookmarkStart w:id="393" w:name="_Toc35424927"/>
      <w:bookmarkStart w:id="394" w:name="_Toc23930"/>
      <w:bookmarkStart w:id="395" w:name="_Toc247085726"/>
      <w:bookmarkStart w:id="396" w:name="_Toc144974536"/>
      <w:bookmarkStart w:id="397" w:name="_Toc19428"/>
      <w:bookmarkStart w:id="398" w:name="_Toc152042344"/>
      <w:r>
        <w:rPr>
          <w:rFonts w:hint="eastAsia" w:ascii="宋体" w:hAnsi="宋体" w:cs="宋体"/>
          <w:b/>
          <w:bCs/>
          <w:color w:val="auto"/>
          <w:szCs w:val="21"/>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440" w:lineRule="atLeast"/>
        <w:ind w:firstLine="420" w:firstLineChars="200"/>
        <w:rPr>
          <w:rFonts w:ascii="宋体" w:hAnsi="宋体" w:cs="宋体"/>
          <w:color w:val="auto"/>
          <w:szCs w:val="21"/>
        </w:rPr>
      </w:pPr>
      <w:r>
        <w:rPr>
          <w:rFonts w:hint="eastAsia" w:ascii="宋体" w:hAnsi="宋体" w:cs="宋体"/>
          <w:color w:val="auto"/>
          <w:szCs w:val="21"/>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color w:val="auto"/>
          <w:szCs w:val="21"/>
        </w:rPr>
      </w:pPr>
      <w:bookmarkStart w:id="399" w:name="_Toc152045570"/>
      <w:bookmarkStart w:id="400" w:name="_Toc246996957"/>
      <w:bookmarkStart w:id="401" w:name="_Toc179632588"/>
      <w:bookmarkStart w:id="402" w:name="_Toc506107308"/>
      <w:bookmarkStart w:id="403" w:name="_Toc296602460"/>
      <w:bookmarkStart w:id="404" w:name="_Toc246996214"/>
      <w:bookmarkStart w:id="405" w:name="_Toc35424930"/>
      <w:bookmarkStart w:id="406" w:name="_Toc152042346"/>
      <w:bookmarkStart w:id="407" w:name="_Toc14106"/>
      <w:bookmarkStart w:id="408" w:name="_Toc35947213"/>
      <w:bookmarkStart w:id="409" w:name="_Toc35425096"/>
      <w:bookmarkStart w:id="410" w:name="_Toc247085728"/>
      <w:bookmarkStart w:id="411" w:name="_Toc144974538"/>
      <w:bookmarkStart w:id="412" w:name="_Toc15423"/>
      <w:bookmarkStart w:id="413" w:name="_Toc634"/>
      <w:bookmarkStart w:id="414" w:name="_Toc324404855"/>
      <w:bookmarkStart w:id="415" w:name="_Toc15058893"/>
      <w:r>
        <w:rPr>
          <w:rFonts w:hint="eastAsia" w:ascii="宋体" w:hAnsi="宋体" w:cs="宋体"/>
          <w:b/>
          <w:bCs/>
          <w:color w:val="auto"/>
          <w:szCs w:val="21"/>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440" w:lineRule="atLeast"/>
        <w:ind w:firstLine="420" w:firstLineChars="200"/>
        <w:rPr>
          <w:rFonts w:ascii="宋体" w:hAnsi="宋体" w:cs="宋体"/>
          <w:bCs/>
          <w:color w:val="auto"/>
          <w:szCs w:val="21"/>
        </w:rPr>
      </w:pPr>
      <w:bookmarkStart w:id="416" w:name="_Toc15058894"/>
      <w:bookmarkStart w:id="417" w:name="_Toc506107309"/>
      <w:bookmarkStart w:id="418" w:name="_Toc324404856"/>
      <w:r>
        <w:rPr>
          <w:rFonts w:hint="eastAsia" w:ascii="宋体" w:hAnsi="宋体" w:cs="宋体"/>
          <w:bCs/>
          <w:color w:val="auto"/>
          <w:szCs w:val="21"/>
        </w:rPr>
        <w:t>7.3.1</w:t>
      </w:r>
      <w:r>
        <w:rPr>
          <w:rFonts w:hint="eastAsia"/>
          <w:color w:val="auto"/>
        </w:rPr>
        <w:t>中标人应在中标通知书发出之日起</w:t>
      </w:r>
      <w:r>
        <w:rPr>
          <w:rFonts w:hint="eastAsia" w:ascii="宋体" w:hAnsi="宋体" w:cs="宋体"/>
          <w:color w:val="auto"/>
        </w:rPr>
        <w:t>7个</w:t>
      </w:r>
      <w:r>
        <w:rPr>
          <w:rFonts w:hint="eastAsia"/>
          <w:color w:val="auto"/>
        </w:rPr>
        <w:t>工作日内，按照交易文件规定和采购人订立书面合同。采购人和中标人不得再行订立背离合同实质性内容的其他协议</w:t>
      </w:r>
      <w:r>
        <w:rPr>
          <w:rFonts w:hint="eastAsia" w:ascii="宋体" w:hAnsi="宋体" w:cs="宋体"/>
          <w:bCs/>
          <w:color w:val="auto"/>
          <w:szCs w:val="21"/>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color w:val="auto"/>
          <w:szCs w:val="21"/>
        </w:rPr>
      </w:pPr>
      <w:r>
        <w:rPr>
          <w:rFonts w:hint="eastAsia" w:ascii="宋体" w:hAnsi="宋体" w:cs="宋体"/>
          <w:bCs/>
          <w:color w:val="auto"/>
          <w:szCs w:val="21"/>
        </w:rPr>
        <w:t>7.3.2 发出中标通知书后，采购人无正当理由拒签合同的，且给中标人造成损失的，还应当赔偿损失。</w:t>
      </w:r>
    </w:p>
    <w:p>
      <w:pPr>
        <w:pStyle w:val="9"/>
        <w:rPr>
          <w:color w:val="auto"/>
        </w:rPr>
      </w:pPr>
      <w:bookmarkStart w:id="419" w:name="_Toc35424931"/>
      <w:bookmarkStart w:id="420" w:name="_Toc31120"/>
      <w:bookmarkStart w:id="421" w:name="_Toc23600"/>
      <w:bookmarkStart w:id="422" w:name="_Toc4635"/>
      <w:bookmarkStart w:id="423" w:name="_Toc9177"/>
      <w:bookmarkStart w:id="424" w:name="_Toc35425097"/>
      <w:bookmarkStart w:id="425" w:name="_Toc35947214"/>
      <w:r>
        <w:rPr>
          <w:rFonts w:hint="eastAsia"/>
          <w:color w:val="auto"/>
        </w:rPr>
        <w:t>8. 纪律和监督</w:t>
      </w:r>
      <w:bookmarkEnd w:id="416"/>
      <w:bookmarkEnd w:id="417"/>
      <w:bookmarkEnd w:id="418"/>
      <w:bookmarkEnd w:id="419"/>
      <w:bookmarkEnd w:id="420"/>
      <w:bookmarkEnd w:id="421"/>
      <w:bookmarkEnd w:id="422"/>
      <w:bookmarkEnd w:id="423"/>
      <w:bookmarkEnd w:id="424"/>
      <w:bookmarkEnd w:id="425"/>
    </w:p>
    <w:p>
      <w:pPr>
        <w:spacing w:line="440" w:lineRule="atLeast"/>
        <w:ind w:firstLine="422" w:firstLineChars="200"/>
        <w:outlineLvl w:val="2"/>
        <w:rPr>
          <w:rFonts w:ascii="宋体" w:hAnsi="宋体" w:cs="宋体"/>
          <w:b/>
          <w:bCs/>
          <w:color w:val="auto"/>
          <w:szCs w:val="21"/>
        </w:rPr>
      </w:pPr>
      <w:bookmarkStart w:id="426" w:name="_Toc35947215"/>
      <w:bookmarkStart w:id="427" w:name="_Toc144974543"/>
      <w:bookmarkStart w:id="428" w:name="_Toc324404857"/>
      <w:bookmarkStart w:id="429" w:name="_Toc506107310"/>
      <w:bookmarkStart w:id="430" w:name="_Toc35425098"/>
      <w:bookmarkStart w:id="431" w:name="_Toc246996219"/>
      <w:bookmarkStart w:id="432" w:name="_Toc152042351"/>
      <w:bookmarkStart w:id="433" w:name="_Toc11235"/>
      <w:bookmarkStart w:id="434" w:name="_Toc296602462"/>
      <w:bookmarkStart w:id="435" w:name="_Toc15058895"/>
      <w:bookmarkStart w:id="436" w:name="_Toc296590983"/>
      <w:bookmarkStart w:id="437" w:name="_Toc13610"/>
      <w:bookmarkStart w:id="438" w:name="_Toc246996962"/>
      <w:bookmarkStart w:id="439" w:name="_Toc247085733"/>
      <w:bookmarkStart w:id="440" w:name="_Toc1964"/>
      <w:bookmarkStart w:id="441" w:name="_Toc179632593"/>
      <w:bookmarkStart w:id="442" w:name="_Toc35424932"/>
      <w:bookmarkStart w:id="443" w:name="_Toc152045575"/>
      <w:r>
        <w:rPr>
          <w:rFonts w:hint="eastAsia" w:ascii="宋体" w:hAnsi="宋体" w:cs="宋体"/>
          <w:b/>
          <w:bCs/>
          <w:color w:val="auto"/>
          <w:szCs w:val="21"/>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40" w:lineRule="atLeast"/>
        <w:ind w:firstLine="420" w:firstLineChars="200"/>
        <w:rPr>
          <w:rFonts w:ascii="宋体" w:hAnsi="宋体" w:cs="宋体"/>
          <w:color w:val="auto"/>
          <w:szCs w:val="21"/>
        </w:rPr>
      </w:pPr>
      <w:r>
        <w:rPr>
          <w:rFonts w:hint="eastAsia" w:ascii="宋体" w:hAnsi="宋体" w:cs="宋体"/>
          <w:color w:val="auto"/>
          <w:szCs w:val="21"/>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color w:val="auto"/>
          <w:szCs w:val="21"/>
        </w:rPr>
      </w:pPr>
      <w:bookmarkStart w:id="444" w:name="_Toc35947216"/>
      <w:bookmarkStart w:id="445" w:name="_Toc144974544"/>
      <w:bookmarkStart w:id="446" w:name="_Toc15058896"/>
      <w:bookmarkStart w:id="447" w:name="_Toc179632594"/>
      <w:bookmarkStart w:id="448" w:name="_Toc152042352"/>
      <w:bookmarkStart w:id="449" w:name="_Toc19504"/>
      <w:bookmarkStart w:id="450" w:name="_Toc324404858"/>
      <w:bookmarkStart w:id="451" w:name="_Toc247085734"/>
      <w:bookmarkStart w:id="452" w:name="_Toc506107311"/>
      <w:bookmarkStart w:id="453" w:name="_Toc152045576"/>
      <w:bookmarkStart w:id="454" w:name="_Toc17314"/>
      <w:bookmarkStart w:id="455" w:name="_Toc296602463"/>
      <w:bookmarkStart w:id="456" w:name="_Toc17475"/>
      <w:bookmarkStart w:id="457" w:name="_Toc246996963"/>
      <w:bookmarkStart w:id="458" w:name="_Toc246996220"/>
      <w:bookmarkStart w:id="459" w:name="_Toc35424933"/>
      <w:bookmarkStart w:id="460" w:name="_Toc35425099"/>
      <w:r>
        <w:rPr>
          <w:rFonts w:hint="eastAsia" w:ascii="宋体" w:hAnsi="宋体" w:cs="宋体"/>
          <w:b/>
          <w:bCs/>
          <w:color w:val="auto"/>
          <w:szCs w:val="21"/>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40" w:lineRule="atLeast"/>
        <w:ind w:firstLine="420" w:firstLineChars="200"/>
        <w:rPr>
          <w:rFonts w:ascii="宋体" w:hAnsi="宋体" w:cs="宋体"/>
          <w:color w:val="auto"/>
          <w:szCs w:val="21"/>
        </w:rPr>
      </w:pPr>
      <w:r>
        <w:rPr>
          <w:rFonts w:hint="eastAsia" w:ascii="宋体" w:hAnsi="宋体" w:cs="宋体"/>
          <w:color w:val="auto"/>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color w:val="auto"/>
          <w:szCs w:val="21"/>
        </w:rPr>
      </w:pPr>
      <w:bookmarkStart w:id="461" w:name="_Toc15058897"/>
      <w:bookmarkStart w:id="462" w:name="_Toc506107312"/>
      <w:bookmarkStart w:id="463" w:name="_Toc324404859"/>
      <w:bookmarkStart w:id="464" w:name="_Toc35424934"/>
      <w:bookmarkStart w:id="465" w:name="_Toc5965"/>
      <w:bookmarkStart w:id="466" w:name="_Toc179632595"/>
      <w:bookmarkStart w:id="467" w:name="_Toc35425100"/>
      <w:bookmarkStart w:id="468" w:name="_Toc246996964"/>
      <w:bookmarkStart w:id="469" w:name="_Toc296602464"/>
      <w:bookmarkStart w:id="470" w:name="_Toc247085735"/>
      <w:bookmarkStart w:id="471" w:name="_Toc23747"/>
      <w:bookmarkStart w:id="472" w:name="_Toc246996221"/>
      <w:bookmarkStart w:id="473" w:name="_Toc35947217"/>
      <w:bookmarkStart w:id="474" w:name="_Toc152045577"/>
      <w:bookmarkStart w:id="475" w:name="_Toc15259"/>
      <w:bookmarkStart w:id="476" w:name="_Toc144974545"/>
      <w:bookmarkStart w:id="477" w:name="_Toc152042353"/>
      <w:r>
        <w:rPr>
          <w:rFonts w:hint="eastAsia" w:ascii="宋体" w:hAnsi="宋体" w:cs="宋体"/>
          <w:b/>
          <w:bCs/>
          <w:color w:val="auto"/>
          <w:szCs w:val="21"/>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color w:val="auto"/>
          <w:szCs w:val="21"/>
        </w:rPr>
      </w:pPr>
      <w:bookmarkStart w:id="478" w:name="_Toc15058898"/>
      <w:bookmarkStart w:id="479" w:name="_Toc296602465"/>
      <w:bookmarkStart w:id="480" w:name="_Toc246996965"/>
      <w:bookmarkStart w:id="481" w:name="_Toc32603"/>
      <w:bookmarkStart w:id="482" w:name="_Toc35424935"/>
      <w:bookmarkStart w:id="483" w:name="_Toc246996222"/>
      <w:bookmarkStart w:id="484" w:name="_Toc247085736"/>
      <w:bookmarkStart w:id="485" w:name="_Toc152042354"/>
      <w:bookmarkStart w:id="486" w:name="_Toc506107313"/>
      <w:bookmarkStart w:id="487" w:name="_Toc35425101"/>
      <w:bookmarkStart w:id="488" w:name="_Toc35947218"/>
      <w:bookmarkStart w:id="489" w:name="_Toc324404860"/>
      <w:bookmarkStart w:id="490" w:name="_Toc24693"/>
      <w:bookmarkStart w:id="491" w:name="_Toc152045578"/>
      <w:bookmarkStart w:id="492" w:name="_Toc179632596"/>
      <w:bookmarkStart w:id="493" w:name="_Toc31849"/>
      <w:bookmarkStart w:id="494" w:name="_Toc144974546"/>
      <w:r>
        <w:rPr>
          <w:rFonts w:hint="eastAsia" w:ascii="宋体" w:hAnsi="宋体" w:cs="宋体"/>
          <w:b/>
          <w:bCs/>
          <w:color w:val="auto"/>
          <w:szCs w:val="21"/>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40" w:lineRule="atLeast"/>
        <w:ind w:firstLine="420" w:firstLineChars="200"/>
        <w:rPr>
          <w:rFonts w:ascii="宋体" w:hAnsi="宋体" w:cs="宋体"/>
          <w:color w:val="auto"/>
          <w:szCs w:val="21"/>
        </w:rPr>
      </w:pPr>
      <w:bookmarkStart w:id="495" w:name="_Toc152042355"/>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spacing w:line="440" w:lineRule="atLeast"/>
        <w:ind w:firstLine="422" w:firstLineChars="200"/>
        <w:outlineLvl w:val="2"/>
        <w:rPr>
          <w:rFonts w:ascii="宋体" w:hAnsi="宋体" w:cs="宋体"/>
          <w:b/>
          <w:bCs/>
          <w:color w:val="auto"/>
          <w:szCs w:val="21"/>
        </w:rPr>
      </w:pPr>
      <w:bookmarkStart w:id="496" w:name="_Toc22416"/>
      <w:bookmarkStart w:id="497" w:name="_Toc246996223"/>
      <w:bookmarkStart w:id="498" w:name="_Toc246996966"/>
      <w:bookmarkStart w:id="499" w:name="_Toc2154"/>
      <w:bookmarkStart w:id="500" w:name="_Toc35425102"/>
      <w:bookmarkStart w:id="501" w:name="_Toc296602466"/>
      <w:bookmarkStart w:id="502" w:name="_Toc324404861"/>
      <w:bookmarkStart w:id="503" w:name="_Toc35947219"/>
      <w:bookmarkStart w:id="504" w:name="_Toc152045579"/>
      <w:bookmarkStart w:id="505" w:name="_Toc12207"/>
      <w:bookmarkStart w:id="506" w:name="_Toc15058899"/>
      <w:bookmarkStart w:id="507" w:name="_Toc506107314"/>
      <w:bookmarkStart w:id="508" w:name="_Toc179632597"/>
      <w:bookmarkStart w:id="509" w:name="_Toc247085737"/>
      <w:bookmarkStart w:id="510" w:name="_Toc152042356"/>
      <w:bookmarkStart w:id="511" w:name="_Toc35424936"/>
      <w:r>
        <w:rPr>
          <w:rFonts w:hint="eastAsia" w:ascii="宋体" w:hAnsi="宋体" w:cs="宋体"/>
          <w:b/>
          <w:bCs/>
          <w:color w:val="auto"/>
          <w:szCs w:val="21"/>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color w:val="auto"/>
          <w:szCs w:val="21"/>
        </w:rPr>
      </w:pPr>
      <w:r>
        <w:rPr>
          <w:rFonts w:hint="eastAsia" w:ascii="宋体" w:hAnsi="宋体" w:cs="宋体"/>
          <w:color w:val="auto"/>
          <w:szCs w:val="21"/>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color w:val="auto"/>
          <w:szCs w:val="21"/>
        </w:rPr>
      </w:pPr>
      <w:r>
        <w:rPr>
          <w:rFonts w:hint="eastAsia" w:ascii="宋体" w:hAnsi="宋体" w:cs="宋体"/>
          <w:color w:val="auto"/>
          <w:szCs w:val="21"/>
        </w:rPr>
        <w:t>8.5.2投标人和其他利害关系人对评标结果等事项投诉的，应当在开标期间或公示期间，先向采购人提出异议。</w:t>
      </w:r>
      <w:r>
        <w:rPr>
          <w:rFonts w:hint="eastAsia" w:ascii="宋体" w:hAnsi="宋体" w:cs="宋体"/>
          <w:b/>
          <w:bCs/>
          <w:color w:val="auto"/>
          <w:szCs w:val="21"/>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color w:val="auto"/>
          <w:szCs w:val="21"/>
        </w:rPr>
      </w:pPr>
      <w:bookmarkStart w:id="512" w:name="_Toc152045580"/>
      <w:bookmarkStart w:id="513" w:name="_Toc144974547"/>
      <w:bookmarkStart w:id="514" w:name="_Toc179632598"/>
      <w:bookmarkStart w:id="515" w:name="_Toc35947220"/>
      <w:bookmarkStart w:id="516" w:name="_Toc23899"/>
      <w:bookmarkStart w:id="517" w:name="_Toc246996224"/>
      <w:bookmarkStart w:id="518" w:name="_Toc18012"/>
      <w:bookmarkStart w:id="519" w:name="_Toc247085738"/>
      <w:bookmarkStart w:id="520" w:name="_Toc24040"/>
      <w:bookmarkStart w:id="521" w:name="_Toc296"/>
      <w:bookmarkStart w:id="522" w:name="_Toc152042357"/>
      <w:bookmarkStart w:id="523" w:name="_Toc246996967"/>
      <w:bookmarkStart w:id="524" w:name="_Toc15058900"/>
      <w:bookmarkStart w:id="525" w:name="_Toc506107315"/>
      <w:bookmarkStart w:id="526" w:name="_Toc324404862"/>
      <w:bookmarkStart w:id="527" w:name="_Toc35424937"/>
      <w:bookmarkStart w:id="528" w:name="_Toc35425103"/>
      <w:r>
        <w:rPr>
          <w:rFonts w:hint="eastAsia" w:ascii="宋体" w:hAnsi="宋体" w:cs="宋体"/>
          <w:b/>
          <w:bCs/>
          <w:color w:val="auto"/>
          <w:szCs w:val="21"/>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40" w:lineRule="atLeast"/>
        <w:ind w:firstLine="420" w:firstLineChars="200"/>
        <w:rPr>
          <w:rFonts w:ascii="宋体" w:hAnsi="宋体" w:cs="宋体"/>
          <w:color w:val="auto"/>
          <w:szCs w:val="21"/>
        </w:rPr>
      </w:pPr>
      <w:bookmarkStart w:id="529" w:name="_Toc15058901"/>
      <w:r>
        <w:rPr>
          <w:rFonts w:hint="eastAsia" w:ascii="宋体" w:hAnsi="宋体" w:cs="宋体"/>
          <w:color w:val="auto"/>
          <w:szCs w:val="21"/>
        </w:rPr>
        <w:t>需要补充的其他内容：见投标人须知前附表。</w:t>
      </w:r>
      <w:bookmarkEnd w:id="529"/>
    </w:p>
    <w:p>
      <w:pPr>
        <w:pStyle w:val="8"/>
        <w:jc w:val="both"/>
        <w:rPr>
          <w:rFonts w:hint="eastAsia"/>
          <w:color w:val="auto"/>
          <w:sz w:val="28"/>
          <w:szCs w:val="28"/>
        </w:rPr>
      </w:pPr>
      <w:bookmarkStart w:id="530" w:name="_Toc9676"/>
      <w:bookmarkStart w:id="531" w:name="_Toc1436"/>
      <w:bookmarkStart w:id="532" w:name="_Toc6133"/>
      <w:bookmarkStart w:id="533" w:name="_Toc27356"/>
    </w:p>
    <w:p>
      <w:pPr>
        <w:rPr>
          <w:rFonts w:hint="eastAsia"/>
          <w:color w:val="auto"/>
          <w:sz w:val="28"/>
          <w:szCs w:val="28"/>
        </w:rPr>
      </w:pPr>
    </w:p>
    <w:p>
      <w:pPr>
        <w:pStyle w:val="2"/>
        <w:rPr>
          <w:rFonts w:hint="eastAsia"/>
          <w:color w:val="auto"/>
          <w:sz w:val="28"/>
          <w:szCs w:val="28"/>
        </w:rPr>
      </w:pPr>
    </w:p>
    <w:p>
      <w:pPr>
        <w:pStyle w:val="6"/>
        <w:rPr>
          <w:rFonts w:hint="eastAsia"/>
          <w:color w:val="auto"/>
          <w:sz w:val="28"/>
          <w:szCs w:val="28"/>
        </w:rPr>
      </w:pPr>
    </w:p>
    <w:p>
      <w:pPr>
        <w:pStyle w:val="7"/>
        <w:rPr>
          <w:rFonts w:hint="eastAsia"/>
          <w:color w:val="auto"/>
          <w:sz w:val="28"/>
          <w:szCs w:val="28"/>
        </w:rPr>
      </w:pPr>
    </w:p>
    <w:p>
      <w:pPr>
        <w:rPr>
          <w:rFonts w:hint="eastAsia"/>
          <w:color w:val="auto"/>
          <w:sz w:val="28"/>
          <w:szCs w:val="28"/>
        </w:rPr>
      </w:pPr>
    </w:p>
    <w:p>
      <w:pPr>
        <w:pStyle w:val="2"/>
        <w:rPr>
          <w:rFonts w:hint="eastAsia"/>
          <w:color w:val="auto"/>
          <w:sz w:val="28"/>
          <w:szCs w:val="28"/>
        </w:rPr>
      </w:pPr>
    </w:p>
    <w:p>
      <w:pPr>
        <w:pStyle w:val="6"/>
        <w:rPr>
          <w:rFonts w:hint="eastAsia"/>
          <w:color w:val="auto"/>
          <w:sz w:val="28"/>
          <w:szCs w:val="28"/>
        </w:rPr>
      </w:pPr>
    </w:p>
    <w:p>
      <w:pPr>
        <w:pStyle w:val="7"/>
        <w:rPr>
          <w:rFonts w:hint="eastAsia"/>
          <w:color w:val="auto"/>
          <w:sz w:val="28"/>
          <w:szCs w:val="28"/>
        </w:rPr>
      </w:pPr>
    </w:p>
    <w:p>
      <w:pPr>
        <w:rPr>
          <w:rFonts w:hint="eastAsia"/>
          <w:color w:val="auto"/>
          <w:sz w:val="28"/>
          <w:szCs w:val="28"/>
        </w:rPr>
      </w:pPr>
    </w:p>
    <w:p>
      <w:pPr>
        <w:pStyle w:val="2"/>
        <w:rPr>
          <w:rFonts w:hint="eastAsia"/>
          <w:color w:val="auto"/>
          <w:sz w:val="28"/>
          <w:szCs w:val="28"/>
        </w:rPr>
      </w:pPr>
    </w:p>
    <w:p>
      <w:pPr>
        <w:pStyle w:val="6"/>
        <w:rPr>
          <w:rFonts w:hint="eastAsia"/>
          <w:color w:val="auto"/>
          <w:sz w:val="28"/>
          <w:szCs w:val="28"/>
        </w:rPr>
      </w:pPr>
    </w:p>
    <w:p>
      <w:pPr>
        <w:pStyle w:val="7"/>
        <w:rPr>
          <w:rFonts w:hint="eastAsia"/>
          <w:color w:val="auto"/>
        </w:rPr>
      </w:pPr>
    </w:p>
    <w:p>
      <w:pPr>
        <w:pStyle w:val="2"/>
        <w:rPr>
          <w:rFonts w:hint="eastAsia"/>
          <w:color w:val="auto"/>
        </w:rPr>
      </w:pPr>
    </w:p>
    <w:p>
      <w:pPr>
        <w:pStyle w:val="8"/>
        <w:jc w:val="center"/>
        <w:rPr>
          <w:color w:val="auto"/>
          <w:sz w:val="28"/>
          <w:szCs w:val="28"/>
        </w:rPr>
      </w:pPr>
      <w:r>
        <w:rPr>
          <w:rFonts w:hint="eastAsia"/>
          <w:color w:val="auto"/>
          <w:sz w:val="28"/>
          <w:szCs w:val="28"/>
        </w:rPr>
        <w:t>第</w:t>
      </w:r>
      <w:r>
        <w:rPr>
          <w:rFonts w:hint="eastAsia"/>
          <w:color w:val="auto"/>
          <w:sz w:val="28"/>
          <w:szCs w:val="28"/>
          <w:lang w:val="en-US" w:eastAsia="zh-CN"/>
        </w:rPr>
        <w:t>三</w:t>
      </w:r>
      <w:r>
        <w:rPr>
          <w:rFonts w:hint="eastAsia"/>
          <w:color w:val="auto"/>
          <w:sz w:val="28"/>
          <w:szCs w:val="28"/>
        </w:rPr>
        <w:t>章  评标办法</w:t>
      </w:r>
      <w:bookmarkEnd w:id="530"/>
      <w:bookmarkEnd w:id="531"/>
      <w:bookmarkEnd w:id="532"/>
      <w:bookmarkEnd w:id="533"/>
    </w:p>
    <w:bookmarkEnd w:id="47"/>
    <w:p>
      <w:pPr>
        <w:spacing w:line="440" w:lineRule="exact"/>
        <w:jc w:val="center"/>
        <w:outlineLvl w:val="1"/>
        <w:rPr>
          <w:rFonts w:ascii="宋体"/>
          <w:b/>
          <w:color w:val="auto"/>
          <w:sz w:val="28"/>
          <w:szCs w:val="28"/>
        </w:rPr>
      </w:pPr>
      <w:bookmarkStart w:id="534" w:name="_Toc58430317"/>
      <w:bookmarkStart w:id="535" w:name="_Toc362983801"/>
      <w:bookmarkStart w:id="536" w:name="_Toc449028877"/>
      <w:r>
        <w:rPr>
          <w:rFonts w:hint="eastAsia" w:ascii="宋体"/>
          <w:b/>
          <w:color w:val="auto"/>
          <w:sz w:val="28"/>
          <w:szCs w:val="28"/>
        </w:rPr>
        <w:t>一、总则</w:t>
      </w:r>
      <w:bookmarkEnd w:id="534"/>
      <w:bookmarkEnd w:id="535"/>
      <w:bookmarkEnd w:id="536"/>
    </w:p>
    <w:p>
      <w:pPr>
        <w:spacing w:line="440" w:lineRule="exact"/>
        <w:ind w:firstLine="316" w:firstLineChars="150"/>
        <w:jc w:val="left"/>
        <w:rPr>
          <w:rFonts w:ascii="宋体" w:hAnsi="宋体" w:cs="宋体"/>
          <w:b/>
          <w:color w:val="auto"/>
          <w:szCs w:val="21"/>
        </w:rPr>
      </w:pPr>
      <w:r>
        <w:rPr>
          <w:rFonts w:hint="eastAsia" w:ascii="宋体" w:hAnsi="宋体" w:cs="宋体"/>
          <w:b/>
          <w:color w:val="auto"/>
          <w:szCs w:val="21"/>
        </w:rPr>
        <w:t xml:space="preserve"> 1. 本次评标采用综合评分法</w:t>
      </w:r>
    </w:p>
    <w:p>
      <w:pPr>
        <w:spacing w:line="400" w:lineRule="exact"/>
        <w:ind w:firstLine="420" w:firstLineChars="200"/>
        <w:jc w:val="left"/>
        <w:rPr>
          <w:rFonts w:ascii="宋体" w:hAnsi="宋体" w:cs="宋体"/>
          <w:color w:val="auto"/>
          <w:sz w:val="24"/>
        </w:rPr>
      </w:pPr>
      <w:r>
        <w:rPr>
          <w:rFonts w:hint="eastAsia" w:ascii="宋体" w:hAnsi="宋体" w:cs="宋体"/>
          <w:color w:val="auto"/>
          <w:szCs w:val="21"/>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color w:val="auto"/>
          <w:szCs w:val="21"/>
        </w:rPr>
      </w:pPr>
      <w:r>
        <w:rPr>
          <w:rFonts w:hint="eastAsia" w:ascii="宋体" w:hAnsi="宋体" w:cs="宋体"/>
          <w:b/>
          <w:color w:val="auto"/>
          <w:szCs w:val="21"/>
        </w:rPr>
        <w:t>2．评标程序</w:t>
      </w:r>
    </w:p>
    <w:p>
      <w:pPr>
        <w:spacing w:line="440" w:lineRule="exact"/>
        <w:ind w:firstLine="420" w:firstLineChars="200"/>
        <w:rPr>
          <w:rFonts w:ascii="宋体" w:hAnsi="宋体" w:cs="宋体"/>
          <w:color w:val="auto"/>
          <w:szCs w:val="21"/>
        </w:rPr>
      </w:pPr>
      <w:r>
        <w:rPr>
          <w:rFonts w:hint="eastAsia" w:ascii="宋体" w:hAnsi="宋体" w:cs="宋体"/>
          <w:color w:val="auto"/>
          <w:szCs w:val="21"/>
        </w:rPr>
        <w:t>2.1投标文件的初审</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2.2投标文件的澄清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color w:val="auto"/>
          <w:szCs w:val="21"/>
        </w:rPr>
      </w:pPr>
      <w:r>
        <w:rPr>
          <w:rFonts w:hint="eastAsia" w:ascii="宋体" w:hAnsi="宋体" w:cs="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2.2.3  采购人不接受投标单位主动提出的澄清。</w:t>
      </w:r>
    </w:p>
    <w:p>
      <w:pPr>
        <w:spacing w:line="440" w:lineRule="exact"/>
        <w:ind w:firstLine="420" w:firstLineChars="200"/>
        <w:rPr>
          <w:rFonts w:ascii="宋体" w:hAnsi="宋体" w:cs="宋体"/>
          <w:color w:val="auto"/>
          <w:szCs w:val="21"/>
        </w:rPr>
      </w:pPr>
      <w:r>
        <w:rPr>
          <w:rFonts w:hint="eastAsia" w:ascii="宋体" w:hAnsi="宋体" w:cs="宋体"/>
          <w:color w:val="auto"/>
          <w:szCs w:val="21"/>
        </w:rPr>
        <w:t>2.3比较与评价</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2.4推荐中标候选人名单</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color w:val="auto"/>
          <w:sz w:val="28"/>
          <w:szCs w:val="28"/>
        </w:rPr>
      </w:pPr>
    </w:p>
    <w:p>
      <w:pPr>
        <w:jc w:val="center"/>
        <w:outlineLvl w:val="1"/>
        <w:rPr>
          <w:rFonts w:ascii="宋体"/>
          <w:b/>
          <w:color w:val="auto"/>
          <w:sz w:val="28"/>
          <w:szCs w:val="28"/>
        </w:rPr>
      </w:pPr>
      <w:bookmarkStart w:id="537" w:name="_Toc29031"/>
      <w:bookmarkStart w:id="538" w:name="_Toc31035"/>
      <w:bookmarkStart w:id="539" w:name="_Toc17428"/>
    </w:p>
    <w:p>
      <w:pPr>
        <w:jc w:val="center"/>
        <w:outlineLvl w:val="1"/>
        <w:rPr>
          <w:rFonts w:ascii="宋体"/>
          <w:b/>
          <w:color w:val="auto"/>
          <w:sz w:val="28"/>
          <w:szCs w:val="28"/>
        </w:rPr>
      </w:pPr>
      <w:r>
        <w:rPr>
          <w:rFonts w:hint="eastAsia" w:ascii="宋体"/>
          <w:b/>
          <w:color w:val="auto"/>
          <w:sz w:val="28"/>
          <w:szCs w:val="28"/>
        </w:rPr>
        <w:t>二  投标文件初审</w:t>
      </w:r>
      <w:bookmarkEnd w:id="537"/>
      <w:bookmarkEnd w:id="538"/>
      <w:bookmarkEnd w:id="539"/>
    </w:p>
    <w:p>
      <w:pPr>
        <w:spacing w:line="400" w:lineRule="exact"/>
        <w:ind w:firstLine="310" w:firstLineChars="147"/>
        <w:rPr>
          <w:rFonts w:ascii="宋体"/>
          <w:b/>
          <w:color w:val="auto"/>
          <w:szCs w:val="21"/>
        </w:rPr>
      </w:pPr>
      <w:r>
        <w:rPr>
          <w:rFonts w:hint="eastAsia" w:ascii="宋体"/>
          <w:b/>
          <w:color w:val="auto"/>
          <w:szCs w:val="21"/>
        </w:rPr>
        <w:t>3.资格性审查:</w:t>
      </w:r>
    </w:p>
    <w:p>
      <w:pPr>
        <w:spacing w:line="400" w:lineRule="exact"/>
        <w:ind w:firstLine="308" w:firstLineChars="147"/>
        <w:rPr>
          <w:color w:val="auto"/>
          <w:szCs w:val="21"/>
        </w:rPr>
      </w:pPr>
      <w:r>
        <w:rPr>
          <w:rFonts w:hint="eastAsia" w:ascii="宋体"/>
          <w:color w:val="auto"/>
          <w:szCs w:val="21"/>
        </w:rPr>
        <w:t>3.1</w:t>
      </w:r>
      <w:r>
        <w:rPr>
          <w:rFonts w:hint="eastAsia"/>
          <w:color w:val="auto"/>
          <w:szCs w:val="21"/>
        </w:rPr>
        <w:t>评审细则</w:t>
      </w:r>
    </w:p>
    <w:tbl>
      <w:tblPr>
        <w:tblStyle w:val="50"/>
        <w:tblW w:w="934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5"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序号</w:t>
            </w:r>
          </w:p>
        </w:tc>
        <w:tc>
          <w:tcPr>
            <w:tcW w:w="4535"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评审因素</w:t>
            </w:r>
          </w:p>
        </w:tc>
        <w:tc>
          <w:tcPr>
            <w:tcW w:w="3929" w:type="dxa"/>
            <w:vAlign w:val="center"/>
          </w:tcPr>
          <w:p>
            <w:pPr>
              <w:spacing w:line="320" w:lineRule="exact"/>
              <w:jc w:val="left"/>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1</w:t>
            </w:r>
          </w:p>
        </w:tc>
        <w:tc>
          <w:tcPr>
            <w:tcW w:w="1527"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重要要求</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3929" w:type="dxa"/>
            <w:vAlign w:val="center"/>
          </w:tcPr>
          <w:p>
            <w:pPr>
              <w:spacing w:line="320" w:lineRule="exact"/>
              <w:jc w:val="left"/>
              <w:rPr>
                <w:rFonts w:ascii="宋体" w:hAnsi="宋体" w:cs="宋体"/>
                <w:b/>
                <w:color w:val="auto"/>
                <w:szCs w:val="21"/>
              </w:rPr>
            </w:pPr>
            <w:r>
              <w:rPr>
                <w:rFonts w:hint="eastAsia" w:ascii="宋体" w:hAnsi="宋体" w:cs="宋体"/>
                <w:b/>
                <w:color w:val="auto"/>
                <w:szCs w:val="21"/>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jc w:val="center"/>
              <w:rPr>
                <w:rFonts w:ascii="宋体" w:hAnsi="宋体" w:cs="宋体"/>
                <w:color w:val="auto"/>
                <w:szCs w:val="21"/>
              </w:rPr>
            </w:pP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（2）保证金缴纳情况</w:t>
            </w:r>
          </w:p>
        </w:tc>
        <w:tc>
          <w:tcPr>
            <w:tcW w:w="3929" w:type="dxa"/>
            <w:vAlign w:val="center"/>
          </w:tcPr>
          <w:p>
            <w:pPr>
              <w:spacing w:line="32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85" w:type="dxa"/>
            <w:vMerge w:val="restart"/>
            <w:vAlign w:val="center"/>
          </w:tcPr>
          <w:p>
            <w:pPr>
              <w:spacing w:line="320" w:lineRule="exact"/>
              <w:jc w:val="center"/>
              <w:rPr>
                <w:rFonts w:ascii="宋体" w:hAnsi="宋体" w:cs="宋体"/>
                <w:color w:val="auto"/>
                <w:szCs w:val="21"/>
              </w:rPr>
            </w:pPr>
            <w:r>
              <w:rPr>
                <w:rFonts w:hint="eastAsia" w:ascii="宋体" w:hAnsi="宋体" w:cs="宋体"/>
                <w:color w:val="auto"/>
                <w:szCs w:val="21"/>
              </w:rPr>
              <w:t>2</w:t>
            </w:r>
          </w:p>
        </w:tc>
        <w:tc>
          <w:tcPr>
            <w:tcW w:w="1527" w:type="dxa"/>
            <w:vMerge w:val="restart"/>
            <w:vAlign w:val="center"/>
          </w:tcPr>
          <w:p>
            <w:pPr>
              <w:spacing w:line="320" w:lineRule="exact"/>
              <w:rPr>
                <w:rFonts w:ascii="宋体" w:hAnsi="宋体" w:cs="宋体"/>
                <w:color w:val="auto"/>
                <w:szCs w:val="21"/>
              </w:rPr>
            </w:pPr>
            <w:r>
              <w:rPr>
                <w:rFonts w:hint="eastAsia" w:ascii="宋体" w:hAnsi="宋体" w:cs="宋体"/>
                <w:color w:val="auto"/>
                <w:szCs w:val="21"/>
              </w:rPr>
              <w:t>投标人应符合的基本资格条件</w:t>
            </w:r>
          </w:p>
        </w:tc>
        <w:tc>
          <w:tcPr>
            <w:tcW w:w="3008" w:type="dxa"/>
            <w:vAlign w:val="center"/>
          </w:tcPr>
          <w:p>
            <w:pPr>
              <w:spacing w:line="320" w:lineRule="exact"/>
              <w:rPr>
                <w:rFonts w:ascii="宋体" w:hAnsi="宋体" w:cs="宋体"/>
                <w:color w:val="auto"/>
                <w:szCs w:val="21"/>
              </w:rPr>
            </w:pPr>
            <w:r>
              <w:rPr>
                <w:rFonts w:hint="eastAsia" w:ascii="宋体" w:hAnsi="宋体" w:cs="宋体"/>
                <w:color w:val="auto"/>
                <w:szCs w:val="21"/>
              </w:rPr>
              <w:t>（3）具有独立承担民事责任的能力</w:t>
            </w:r>
          </w:p>
        </w:tc>
        <w:tc>
          <w:tcPr>
            <w:tcW w:w="3929" w:type="dxa"/>
            <w:vAlign w:val="center"/>
          </w:tcPr>
          <w:p>
            <w:pPr>
              <w:spacing w:line="320" w:lineRule="exact"/>
              <w:jc w:val="left"/>
              <w:rPr>
                <w:rFonts w:ascii="宋体" w:hAnsi="宋体" w:cs="宋体"/>
                <w:color w:val="auto"/>
                <w:szCs w:val="21"/>
              </w:rPr>
            </w:pPr>
            <w:r>
              <w:rPr>
                <w:rFonts w:hint="eastAsia" w:ascii="宋体" w:hAnsi="宋体" w:cs="宋体"/>
                <w:b/>
                <w:color w:val="auto"/>
                <w:szCs w:val="21"/>
              </w:rPr>
              <w:t>评审核验下列证书、证明材料：</w:t>
            </w:r>
          </w:p>
          <w:p>
            <w:pPr>
              <w:spacing w:line="320" w:lineRule="exact"/>
              <w:jc w:val="left"/>
              <w:rPr>
                <w:rFonts w:ascii="宋体" w:hAnsi="宋体" w:cs="宋体"/>
                <w:color w:val="auto"/>
                <w:szCs w:val="21"/>
              </w:rPr>
            </w:pPr>
            <w:r>
              <w:rPr>
                <w:rFonts w:hint="eastAsia" w:ascii="宋体" w:hAnsi="宋体" w:cs="宋体"/>
                <w:color w:val="auto"/>
                <w:szCs w:val="21"/>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rPr>
                <w:rFonts w:ascii="宋体" w:hAnsi="宋体" w:cs="宋体"/>
                <w:color w:val="auto"/>
                <w:szCs w:val="21"/>
              </w:rPr>
            </w:pPr>
          </w:p>
        </w:tc>
        <w:tc>
          <w:tcPr>
            <w:tcW w:w="3008" w:type="dxa"/>
          </w:tcPr>
          <w:p>
            <w:pPr>
              <w:spacing w:line="320" w:lineRule="exact"/>
              <w:rPr>
                <w:rFonts w:ascii="宋体" w:hAnsi="宋体" w:cs="宋体"/>
                <w:color w:val="auto"/>
                <w:szCs w:val="21"/>
              </w:rPr>
            </w:pPr>
            <w:r>
              <w:rPr>
                <w:rFonts w:hint="eastAsia" w:ascii="宋体" w:hAnsi="宋体" w:cs="宋体"/>
                <w:color w:val="auto"/>
                <w:szCs w:val="21"/>
              </w:rPr>
              <w:t>（4）诚信投标承诺书</w:t>
            </w:r>
          </w:p>
        </w:tc>
        <w:tc>
          <w:tcPr>
            <w:tcW w:w="3929" w:type="dxa"/>
          </w:tcPr>
          <w:p>
            <w:pPr>
              <w:spacing w:line="360" w:lineRule="exact"/>
              <w:jc w:val="left"/>
              <w:rPr>
                <w:rFonts w:ascii="宋体" w:hAnsi="宋体" w:cs="宋体"/>
                <w:b/>
                <w:color w:val="auto"/>
                <w:szCs w:val="21"/>
              </w:rPr>
            </w:pPr>
            <w:r>
              <w:rPr>
                <w:rFonts w:hint="eastAsia" w:ascii="宋体" w:hAnsi="宋体" w:cs="宋体"/>
                <w:color w:val="auto"/>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5" w:type="dxa"/>
            <w:vMerge w:val="continue"/>
            <w:vAlign w:val="center"/>
          </w:tcPr>
          <w:p>
            <w:pPr>
              <w:spacing w:line="320" w:lineRule="exact"/>
              <w:jc w:val="center"/>
              <w:rPr>
                <w:rFonts w:ascii="宋体" w:hAnsi="宋体" w:cs="宋体"/>
                <w:color w:val="auto"/>
                <w:szCs w:val="21"/>
              </w:rPr>
            </w:pPr>
          </w:p>
        </w:tc>
        <w:tc>
          <w:tcPr>
            <w:tcW w:w="1527" w:type="dxa"/>
            <w:vMerge w:val="continue"/>
            <w:vAlign w:val="center"/>
          </w:tcPr>
          <w:p>
            <w:pPr>
              <w:spacing w:line="320" w:lineRule="exact"/>
              <w:rPr>
                <w:rFonts w:ascii="宋体" w:hAnsi="宋体" w:cs="宋体"/>
                <w:color w:val="auto"/>
                <w:szCs w:val="21"/>
              </w:rPr>
            </w:pPr>
          </w:p>
        </w:tc>
        <w:tc>
          <w:tcPr>
            <w:tcW w:w="3008" w:type="dxa"/>
          </w:tcPr>
          <w:p>
            <w:pPr>
              <w:spacing w:line="320" w:lineRule="exac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）具备环保工程专业承包三级（含）及以上资质</w:t>
            </w:r>
          </w:p>
        </w:tc>
        <w:tc>
          <w:tcPr>
            <w:tcW w:w="3929" w:type="dxa"/>
          </w:tcPr>
          <w:p>
            <w:pPr>
              <w:spacing w:line="360" w:lineRule="exact"/>
              <w:jc w:val="left"/>
              <w:rPr>
                <w:rFonts w:hint="eastAsia" w:ascii="宋体" w:hAnsi="宋体" w:cs="宋体"/>
                <w:b/>
                <w:color w:val="auto"/>
                <w:szCs w:val="21"/>
              </w:rPr>
            </w:pPr>
            <w:r>
              <w:rPr>
                <w:rFonts w:hint="eastAsia" w:ascii="宋体" w:hAnsi="宋体" w:cs="宋体"/>
                <w:b/>
                <w:color w:val="auto"/>
                <w:szCs w:val="21"/>
              </w:rPr>
              <w:t>评审核验下列证书、证明材料：</w:t>
            </w:r>
          </w:p>
          <w:p>
            <w:pPr>
              <w:spacing w:line="360" w:lineRule="exact"/>
              <w:jc w:val="left"/>
              <w:rPr>
                <w:rFonts w:hint="default" w:ascii="宋体" w:hAnsi="宋体" w:eastAsia="宋体" w:cs="宋体"/>
                <w:color w:val="auto"/>
                <w:szCs w:val="21"/>
                <w:lang w:val="en-US" w:eastAsia="zh-CN"/>
              </w:rPr>
            </w:pPr>
            <w:r>
              <w:rPr>
                <w:rFonts w:hint="eastAsia" w:ascii="宋体" w:hAnsi="宋体" w:cs="宋体"/>
                <w:b w:val="0"/>
                <w:bCs/>
                <w:color w:val="auto"/>
                <w:szCs w:val="21"/>
                <w:lang w:val="en-US" w:eastAsia="zh-CN"/>
              </w:rPr>
              <w:t>有效资质证书复印件加盖公章</w:t>
            </w:r>
          </w:p>
        </w:tc>
      </w:tr>
    </w:tbl>
    <w:p>
      <w:pPr>
        <w:spacing w:before="312" w:beforeLines="100" w:line="440" w:lineRule="exact"/>
        <w:ind w:firstLine="310" w:firstLineChars="147"/>
        <w:rPr>
          <w:rFonts w:ascii="宋体"/>
          <w:b/>
          <w:color w:val="auto"/>
          <w:szCs w:val="21"/>
        </w:rPr>
      </w:pPr>
      <w:r>
        <w:rPr>
          <w:rFonts w:hint="eastAsia" w:ascii="宋体"/>
          <w:b/>
          <w:color w:val="auto"/>
          <w:szCs w:val="21"/>
        </w:rPr>
        <w:t>4.符合性审查</w:t>
      </w:r>
    </w:p>
    <w:p>
      <w:pPr>
        <w:spacing w:line="440" w:lineRule="exact"/>
        <w:ind w:firstLine="315" w:firstLineChars="150"/>
        <w:rPr>
          <w:rFonts w:ascii="宋体"/>
          <w:color w:val="auto"/>
          <w:szCs w:val="21"/>
        </w:rPr>
      </w:pPr>
      <w:r>
        <w:rPr>
          <w:rFonts w:hint="eastAsia" w:ascii="宋体"/>
          <w:color w:val="auto"/>
          <w:szCs w:val="21"/>
        </w:rPr>
        <w:t>4．1评审细则</w:t>
      </w:r>
    </w:p>
    <w:tbl>
      <w:tblPr>
        <w:tblStyle w:val="5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序号</w:t>
            </w:r>
          </w:p>
        </w:tc>
        <w:tc>
          <w:tcPr>
            <w:tcW w:w="4135" w:type="dxa"/>
            <w:gridSpan w:val="2"/>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审查因素</w:t>
            </w:r>
          </w:p>
        </w:tc>
        <w:tc>
          <w:tcPr>
            <w:tcW w:w="4602" w:type="dxa"/>
            <w:vAlign w:val="center"/>
          </w:tcPr>
          <w:p>
            <w:pPr>
              <w:spacing w:line="320" w:lineRule="atLeast"/>
              <w:jc w:val="center"/>
              <w:rPr>
                <w:rFonts w:ascii="黑体" w:eastAsia="黑体" w:cs="黑体"/>
                <w:b/>
                <w:bCs/>
                <w:color w:val="auto"/>
                <w:szCs w:val="21"/>
              </w:rPr>
            </w:pPr>
            <w:r>
              <w:rPr>
                <w:rFonts w:hint="eastAsia" w:ascii="黑体" w:eastAsia="黑体" w:cs="黑体"/>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1</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标书的有效 性</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（1）投标文件签署</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olor w:val="auto"/>
                <w:szCs w:val="21"/>
              </w:rPr>
              <w:t>（2）报价唯一</w:t>
            </w:r>
          </w:p>
        </w:tc>
        <w:tc>
          <w:tcPr>
            <w:tcW w:w="4602" w:type="dxa"/>
            <w:vAlign w:val="center"/>
          </w:tcPr>
          <w:p>
            <w:pPr>
              <w:spacing w:line="320" w:lineRule="atLeast"/>
              <w:rPr>
                <w:rFonts w:ascii="宋体" w:cs="宋体"/>
                <w:color w:val="auto"/>
                <w:szCs w:val="21"/>
              </w:rPr>
            </w:pPr>
            <w:r>
              <w:rPr>
                <w:rFonts w:hint="eastAsia" w:ascii="宋体" w:cs="仿宋_GB2312"/>
                <w:color w:val="auto"/>
                <w:szCs w:val="21"/>
                <w:lang w:val="zh-CN"/>
              </w:rPr>
              <w:t>只能在限价范围内报价，</w:t>
            </w:r>
            <w:r>
              <w:rPr>
                <w:rFonts w:hint="eastAsia" w:ascii="宋体"/>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olor w:val="auto"/>
                <w:szCs w:val="21"/>
              </w:rPr>
            </w:pPr>
            <w:r>
              <w:rPr>
                <w:rFonts w:hint="eastAsia" w:ascii="宋体"/>
                <w:color w:val="auto"/>
                <w:szCs w:val="21"/>
              </w:rPr>
              <w:t xml:space="preserve"> (3) 投标文件的有效期</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2</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标书的完整 性</w:t>
            </w:r>
          </w:p>
        </w:tc>
        <w:tc>
          <w:tcPr>
            <w:tcW w:w="2931" w:type="dxa"/>
            <w:vAlign w:val="center"/>
          </w:tcPr>
          <w:p>
            <w:pPr>
              <w:spacing w:line="320" w:lineRule="atLeast"/>
              <w:rPr>
                <w:rFonts w:ascii="宋体" w:cs="宋体"/>
                <w:color w:val="auto"/>
                <w:szCs w:val="21"/>
              </w:rPr>
            </w:pPr>
            <w:r>
              <w:rPr>
                <w:rFonts w:hint="eastAsia" w:ascii="宋体" w:cs="仿宋_GB2312"/>
                <w:color w:val="auto"/>
                <w:szCs w:val="21"/>
                <w:lang w:val="zh-CN"/>
              </w:rPr>
              <w:t>（</w:t>
            </w:r>
            <w:r>
              <w:rPr>
                <w:rFonts w:hint="eastAsia" w:ascii="宋体" w:cs="仿宋_GB2312"/>
                <w:color w:val="auto"/>
                <w:szCs w:val="21"/>
              </w:rPr>
              <w:t>4</w:t>
            </w:r>
            <w:r>
              <w:rPr>
                <w:rFonts w:hint="eastAsia" w:ascii="宋体" w:cs="仿宋_GB2312"/>
                <w:color w:val="auto"/>
                <w:szCs w:val="21"/>
                <w:lang w:val="zh-CN"/>
              </w:rPr>
              <w:t>）投标文件份数</w:t>
            </w:r>
          </w:p>
        </w:tc>
        <w:tc>
          <w:tcPr>
            <w:tcW w:w="4602" w:type="dxa"/>
            <w:vAlign w:val="center"/>
          </w:tcPr>
          <w:p>
            <w:pPr>
              <w:spacing w:line="320" w:lineRule="atLeast"/>
              <w:rPr>
                <w:rFonts w:ascii="宋体" w:cs="宋体"/>
                <w:color w:val="auto"/>
                <w:szCs w:val="21"/>
              </w:rPr>
            </w:pPr>
            <w:r>
              <w:rPr>
                <w:rFonts w:hint="eastAsia" w:ascii="宋体" w:hAnsi="宋体" w:cs="宋体"/>
                <w:color w:val="auto"/>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5</w:t>
            </w:r>
            <w:r>
              <w:rPr>
                <w:rFonts w:hint="eastAsia" w:ascii="宋体" w:cs="仿宋_GB2312"/>
                <w:color w:val="auto"/>
                <w:szCs w:val="21"/>
                <w:lang w:val="zh-CN"/>
              </w:rPr>
              <w:t>）投标文件形式内容</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rPr>
            </w:pPr>
            <w:r>
              <w:rPr>
                <w:rFonts w:hint="eastAsia" w:ascii="宋体"/>
                <w:color w:val="auto"/>
                <w:szCs w:val="21"/>
              </w:rPr>
              <w:t>3</w:t>
            </w:r>
          </w:p>
        </w:tc>
        <w:tc>
          <w:tcPr>
            <w:tcW w:w="1204" w:type="dxa"/>
            <w:vMerge w:val="restart"/>
            <w:vAlign w:val="center"/>
          </w:tcPr>
          <w:p>
            <w:pPr>
              <w:spacing w:line="320" w:lineRule="atLeast"/>
              <w:rPr>
                <w:rFonts w:ascii="宋体" w:cs="仿宋_GB2312"/>
                <w:color w:val="auto"/>
                <w:szCs w:val="21"/>
                <w:lang w:val="zh-CN"/>
              </w:rPr>
            </w:pPr>
            <w:r>
              <w:rPr>
                <w:rFonts w:hint="eastAsia" w:ascii="宋体" w:cs="仿宋_GB2312"/>
                <w:color w:val="auto"/>
                <w:szCs w:val="21"/>
                <w:lang w:val="zh-CN"/>
              </w:rPr>
              <w:t>标书的响应程度</w:t>
            </w: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6</w:t>
            </w:r>
            <w:r>
              <w:rPr>
                <w:rFonts w:hint="eastAsia" w:ascii="宋体" w:cs="仿宋_GB2312"/>
                <w:color w:val="auto"/>
                <w:szCs w:val="21"/>
                <w:lang w:val="zh-CN"/>
              </w:rPr>
              <w:t>）技术参数响应程度</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rPr>
                <w:color w:val="auto"/>
              </w:rPr>
            </w:pPr>
          </w:p>
        </w:tc>
        <w:tc>
          <w:tcPr>
            <w:tcW w:w="1204" w:type="dxa"/>
            <w:vMerge w:val="continue"/>
            <w:vAlign w:val="center"/>
          </w:tcPr>
          <w:p>
            <w:pPr>
              <w:spacing w:line="320" w:lineRule="atLeast"/>
              <w:rPr>
                <w:color w:val="auto"/>
              </w:rPr>
            </w:pPr>
          </w:p>
        </w:tc>
        <w:tc>
          <w:tcPr>
            <w:tcW w:w="2931"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w:t>
            </w:r>
            <w:r>
              <w:rPr>
                <w:rFonts w:hint="eastAsia" w:ascii="宋体" w:cs="仿宋_GB2312"/>
                <w:color w:val="auto"/>
                <w:szCs w:val="21"/>
              </w:rPr>
              <w:t>7</w:t>
            </w:r>
            <w:r>
              <w:rPr>
                <w:rFonts w:hint="eastAsia" w:ascii="宋体" w:cs="仿宋_GB2312"/>
                <w:color w:val="auto"/>
                <w:szCs w:val="21"/>
                <w:lang w:val="zh-CN"/>
              </w:rPr>
              <w:t>）商务条款响应程度（包括供货期、售后服务、技术培训等）</w:t>
            </w:r>
          </w:p>
        </w:tc>
        <w:tc>
          <w:tcPr>
            <w:tcW w:w="4602" w:type="dxa"/>
            <w:vAlign w:val="center"/>
          </w:tcPr>
          <w:p>
            <w:pPr>
              <w:spacing w:line="320" w:lineRule="atLeast"/>
              <w:rPr>
                <w:rFonts w:ascii="宋体" w:cs="仿宋_GB2312"/>
                <w:color w:val="auto"/>
                <w:szCs w:val="21"/>
                <w:lang w:val="zh-CN"/>
              </w:rPr>
            </w:pPr>
            <w:r>
              <w:rPr>
                <w:rFonts w:hint="eastAsia" w:ascii="宋体" w:cs="仿宋_GB2312"/>
                <w:color w:val="auto"/>
                <w:szCs w:val="21"/>
                <w:lang w:val="zh-CN"/>
              </w:rPr>
              <w:t>响应或优于</w:t>
            </w:r>
            <w:r>
              <w:rPr>
                <w:rFonts w:hint="eastAsia" w:ascii="宋体" w:hAnsi="宋体" w:cs="宋体"/>
                <w:color w:val="auto"/>
                <w:szCs w:val="21"/>
                <w:lang w:val="zh-CN"/>
              </w:rPr>
              <w:t>交易文件要求。</w:t>
            </w:r>
          </w:p>
        </w:tc>
      </w:tr>
    </w:tbl>
    <w:p>
      <w:pPr>
        <w:spacing w:line="400" w:lineRule="exact"/>
        <w:ind w:firstLine="506" w:firstLineChars="241"/>
        <w:rPr>
          <w:rFonts w:ascii="宋体"/>
          <w:color w:val="auto"/>
          <w:szCs w:val="21"/>
        </w:rPr>
      </w:pPr>
      <w:r>
        <w:rPr>
          <w:rFonts w:hint="eastAsia" w:ascii="宋体"/>
          <w:color w:val="auto"/>
          <w:szCs w:val="21"/>
        </w:rPr>
        <w:t>4.2评委会判定投标文件的响应性只根据投标文件本身的内容，而不寻求外部的证据，但投标有不真实不正确的内容时除外。</w:t>
      </w:r>
    </w:p>
    <w:p>
      <w:pPr>
        <w:spacing w:line="400" w:lineRule="exact"/>
        <w:ind w:firstLine="506" w:firstLineChars="241"/>
        <w:rPr>
          <w:rFonts w:ascii="宋体"/>
          <w:color w:val="auto"/>
          <w:szCs w:val="21"/>
        </w:rPr>
      </w:pPr>
      <w:r>
        <w:rPr>
          <w:rFonts w:hint="eastAsia" w:ascii="宋体"/>
          <w:color w:val="auto"/>
          <w:szCs w:val="21"/>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color w:val="auto"/>
          <w:szCs w:val="21"/>
        </w:rPr>
      </w:pPr>
      <w:r>
        <w:rPr>
          <w:rFonts w:hint="eastAsia" w:ascii="宋体"/>
          <w:color w:val="auto"/>
          <w:szCs w:val="21"/>
        </w:rPr>
        <w:t xml:space="preserve"> 4.4投标人</w:t>
      </w:r>
      <w:r>
        <w:rPr>
          <w:rFonts w:hint="eastAsia" w:ascii="宋体"/>
          <w:color w:val="auto"/>
          <w:szCs w:val="21"/>
          <w:lang w:val="en-US" w:eastAsia="zh-CN"/>
        </w:rPr>
        <w:t>可以</w:t>
      </w:r>
      <w:r>
        <w:rPr>
          <w:rFonts w:hint="eastAsia" w:ascii="宋体"/>
          <w:color w:val="auto"/>
          <w:szCs w:val="21"/>
        </w:rPr>
        <w:t>对评标委员会的评审结论提出异议，评标委员会根据交易文件及有关规定对投标人的异议进行复议</w:t>
      </w:r>
    </w:p>
    <w:p>
      <w:pPr>
        <w:spacing w:line="400" w:lineRule="exact"/>
        <w:ind w:firstLine="525" w:firstLineChars="250"/>
        <w:rPr>
          <w:rFonts w:ascii="宋体" w:hAnsi="宋体"/>
          <w:b/>
          <w:color w:val="auto"/>
          <w:szCs w:val="21"/>
        </w:rPr>
      </w:pPr>
      <w:r>
        <w:rPr>
          <w:rFonts w:hint="eastAsia" w:ascii="宋体"/>
          <w:color w:val="auto"/>
          <w:szCs w:val="21"/>
        </w:rPr>
        <w:t>4.5只有通过初审的投标人才能进入下一步评标程序。</w:t>
      </w:r>
    </w:p>
    <w:p>
      <w:pPr>
        <w:spacing w:before="312" w:beforeLines="100" w:line="400" w:lineRule="exact"/>
        <w:jc w:val="center"/>
        <w:outlineLvl w:val="1"/>
        <w:rPr>
          <w:rFonts w:ascii="宋体"/>
          <w:b/>
          <w:color w:val="auto"/>
          <w:sz w:val="24"/>
        </w:rPr>
      </w:pPr>
      <w:bookmarkStart w:id="540" w:name="_Toc469495734"/>
      <w:bookmarkStart w:id="541" w:name="_Toc12765"/>
      <w:bookmarkStart w:id="542" w:name="_Toc307"/>
      <w:bookmarkStart w:id="543" w:name="_Toc6216"/>
      <w:bookmarkStart w:id="544" w:name="_Toc362983803"/>
      <w:r>
        <w:rPr>
          <w:rFonts w:hint="eastAsia" w:ascii="宋体"/>
          <w:b/>
          <w:color w:val="auto"/>
          <w:sz w:val="24"/>
        </w:rPr>
        <w:t>三  投标文件的澄清和补正</w:t>
      </w:r>
      <w:bookmarkEnd w:id="540"/>
      <w:bookmarkEnd w:id="541"/>
      <w:bookmarkEnd w:id="542"/>
      <w:bookmarkEnd w:id="543"/>
      <w:bookmarkEnd w:id="544"/>
    </w:p>
    <w:p>
      <w:pPr>
        <w:spacing w:line="380" w:lineRule="exact"/>
        <w:ind w:firstLine="527" w:firstLineChars="250"/>
        <w:rPr>
          <w:rFonts w:ascii="宋体"/>
          <w:color w:val="auto"/>
          <w:szCs w:val="21"/>
        </w:rPr>
      </w:pPr>
      <w:r>
        <w:rPr>
          <w:rFonts w:hint="eastAsia" w:ascii="宋体" w:hAnsi="宋体" w:cs="宋体"/>
          <w:b/>
          <w:bCs/>
          <w:color w:val="auto"/>
          <w:szCs w:val="21"/>
        </w:rPr>
        <w:t>5.1</w:t>
      </w:r>
      <w:r>
        <w:rPr>
          <w:rFonts w:hint="eastAsia" w:ascii="宋体"/>
          <w:color w:val="auto"/>
          <w:szCs w:val="21"/>
        </w:rPr>
        <w:t>评委会修正错误的原则：</w:t>
      </w:r>
    </w:p>
    <w:p>
      <w:pPr>
        <w:spacing w:line="380" w:lineRule="exact"/>
        <w:ind w:firstLine="525" w:firstLineChars="250"/>
        <w:rPr>
          <w:rFonts w:ascii="宋体"/>
          <w:color w:val="auto"/>
          <w:szCs w:val="21"/>
        </w:rPr>
      </w:pPr>
      <w:r>
        <w:rPr>
          <w:rFonts w:hint="eastAsia" w:ascii="宋体"/>
          <w:color w:val="auto"/>
          <w:szCs w:val="21"/>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color w:val="auto"/>
          <w:szCs w:val="21"/>
        </w:rPr>
      </w:pPr>
      <w:r>
        <w:rPr>
          <w:rFonts w:hint="eastAsia" w:ascii="宋体"/>
          <w:color w:val="auto"/>
          <w:szCs w:val="21"/>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color w:val="auto"/>
          <w:sz w:val="24"/>
        </w:rPr>
      </w:pPr>
      <w:r>
        <w:rPr>
          <w:rFonts w:hint="eastAsia" w:ascii="宋体"/>
          <w:color w:val="auto"/>
          <w:szCs w:val="21"/>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color w:val="auto"/>
          <w:szCs w:val="21"/>
        </w:rPr>
        <w:t>投标人进行有效确认</w:t>
      </w:r>
      <w:r>
        <w:rPr>
          <w:rFonts w:hint="eastAsia" w:ascii="宋体"/>
          <w:color w:val="auto"/>
          <w:szCs w:val="21"/>
        </w:rPr>
        <w:t>。投标人拒绝对投标文件出现的错漏按上述原则进行修正、澄清、说明，评标委员会应当否决其投标。</w:t>
      </w:r>
      <w:bookmarkStart w:id="545" w:name="_Toc469495735"/>
    </w:p>
    <w:p>
      <w:pPr>
        <w:spacing w:line="380" w:lineRule="exact"/>
        <w:jc w:val="center"/>
        <w:outlineLvl w:val="1"/>
        <w:rPr>
          <w:rFonts w:ascii="宋体"/>
          <w:b/>
          <w:color w:val="auto"/>
          <w:sz w:val="24"/>
        </w:rPr>
      </w:pPr>
      <w:bookmarkStart w:id="546" w:name="_Toc18854"/>
      <w:bookmarkStart w:id="547" w:name="_Toc18354"/>
      <w:bookmarkStart w:id="548" w:name="_Toc25675"/>
      <w:r>
        <w:rPr>
          <w:rFonts w:hint="eastAsia" w:ascii="宋体"/>
          <w:b/>
          <w:color w:val="auto"/>
          <w:sz w:val="24"/>
        </w:rPr>
        <w:t>四 比较与评价</w:t>
      </w:r>
      <w:bookmarkEnd w:id="545"/>
      <w:bookmarkEnd w:id="546"/>
      <w:bookmarkEnd w:id="547"/>
      <w:bookmarkEnd w:id="548"/>
    </w:p>
    <w:p>
      <w:pPr>
        <w:spacing w:line="400" w:lineRule="exact"/>
        <w:ind w:firstLine="417" w:firstLineChars="198"/>
        <w:rPr>
          <w:rFonts w:ascii="宋体"/>
          <w:b/>
          <w:color w:val="auto"/>
          <w:szCs w:val="21"/>
        </w:rPr>
      </w:pPr>
      <w:r>
        <w:rPr>
          <w:rFonts w:hint="eastAsia" w:ascii="宋体" w:hAnsi="宋体"/>
          <w:b/>
          <w:color w:val="auto"/>
          <w:szCs w:val="21"/>
        </w:rPr>
        <w:t xml:space="preserve"> 6. </w:t>
      </w:r>
      <w:r>
        <w:rPr>
          <w:rFonts w:hint="eastAsia" w:ascii="宋体"/>
          <w:b/>
          <w:color w:val="auto"/>
          <w:szCs w:val="21"/>
        </w:rPr>
        <w:t>详细评审即按招标文件中规定的评标方法和标准，评标委员会将对通过初审的投标文件，进行资信、技术和商务部分评估、综合比较与评价。</w:t>
      </w:r>
    </w:p>
    <w:p>
      <w:pPr>
        <w:spacing w:line="400" w:lineRule="exact"/>
        <w:rPr>
          <w:rFonts w:ascii="宋体" w:hAnsi="宋体"/>
          <w:b/>
          <w:color w:val="auto"/>
          <w:sz w:val="24"/>
        </w:rPr>
      </w:pPr>
      <w:r>
        <w:rPr>
          <w:rFonts w:hint="eastAsia" w:ascii="宋体" w:hAnsi="宋体"/>
          <w:b/>
          <w:color w:val="auto"/>
          <w:sz w:val="24"/>
        </w:rPr>
        <w:t>6.1资信标评审细则（</w:t>
      </w:r>
      <w:r>
        <w:rPr>
          <w:rFonts w:hint="eastAsia" w:ascii="宋体" w:hAnsi="宋体"/>
          <w:b/>
          <w:color w:val="auto"/>
          <w:sz w:val="24"/>
          <w:lang w:val="en-US" w:eastAsia="zh-CN"/>
        </w:rPr>
        <w:t>25</w:t>
      </w:r>
      <w:r>
        <w:rPr>
          <w:rFonts w:hint="eastAsia" w:ascii="宋体" w:hAnsi="宋体"/>
          <w:b/>
          <w:color w:val="auto"/>
          <w:sz w:val="24"/>
        </w:rPr>
        <w:t>分）</w:t>
      </w:r>
    </w:p>
    <w:tbl>
      <w:tblPr>
        <w:tblStyle w:val="50"/>
        <w:tblW w:w="6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60"/>
        <w:gridCol w:w="6177"/>
        <w:gridCol w:w="88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序号</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评分因素</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评审标准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分值</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rPr>
            </w:pPr>
            <w:r>
              <w:rPr>
                <w:rFonts w:hint="eastAsia" w:ascii="宋体" w:hAnsi="宋体" w:cs="宋体"/>
                <w:color w:val="auto"/>
                <w:sz w:val="21"/>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1</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olor w:val="auto"/>
                <w:sz w:val="21"/>
                <w:szCs w:val="21"/>
                <w:highlight w:val="none"/>
                <w:vertAlign w:val="baseline"/>
                <w:lang w:eastAsia="zh-CN"/>
              </w:rPr>
              <w:t>投投标人体系认证</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olor w:val="auto"/>
                <w:sz w:val="21"/>
                <w:szCs w:val="21"/>
                <w:highlight w:val="none"/>
                <w:vertAlign w:val="baseline"/>
                <w:lang w:eastAsia="zh-CN"/>
              </w:rPr>
            </w:pPr>
            <w:r>
              <w:rPr>
                <w:rFonts w:hint="eastAsia" w:ascii="宋体" w:hAnsi="宋体"/>
                <w:color w:val="auto"/>
                <w:sz w:val="21"/>
                <w:szCs w:val="21"/>
                <w:highlight w:val="none"/>
                <w:vertAlign w:val="baseline"/>
                <w:lang w:eastAsia="zh-CN"/>
              </w:rPr>
              <w:t>投标人具有经中国国家认证认可监督管理委员会认证机构颁发的且在有期内的：</w:t>
            </w:r>
          </w:p>
          <w:p>
            <w:pPr>
              <w:pStyle w:val="18"/>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olor w:val="auto"/>
                <w:sz w:val="21"/>
                <w:szCs w:val="21"/>
                <w:highlight w:val="none"/>
                <w:vertAlign w:val="baseline"/>
                <w:lang w:eastAsia="zh-CN"/>
              </w:rPr>
            </w:pPr>
            <w:r>
              <w:rPr>
                <w:rFonts w:hint="eastAsia" w:ascii="宋体" w:hAnsi="宋体"/>
                <w:color w:val="auto"/>
                <w:sz w:val="21"/>
                <w:szCs w:val="21"/>
                <w:highlight w:val="none"/>
                <w:vertAlign w:val="baseline"/>
                <w:lang w:eastAsia="zh-CN"/>
              </w:rPr>
              <w:t>质量管理体系认证证书，得</w:t>
            </w:r>
            <w:r>
              <w:rPr>
                <w:rFonts w:hint="eastAsia" w:ascii="宋体" w:hAnsi="宋体"/>
                <w:color w:val="auto"/>
                <w:sz w:val="21"/>
                <w:szCs w:val="21"/>
                <w:highlight w:val="none"/>
                <w:vertAlign w:val="baseline"/>
                <w:lang w:val="en-US" w:eastAsia="zh-CN"/>
              </w:rPr>
              <w:t>2</w:t>
            </w:r>
            <w:r>
              <w:rPr>
                <w:rFonts w:hint="eastAsia" w:ascii="宋体" w:hAnsi="宋体"/>
                <w:color w:val="auto"/>
                <w:sz w:val="21"/>
                <w:szCs w:val="21"/>
                <w:highlight w:val="none"/>
                <w:vertAlign w:val="baseline"/>
                <w:lang w:eastAsia="zh-CN"/>
              </w:rPr>
              <w:t>分；</w:t>
            </w:r>
          </w:p>
          <w:p>
            <w:pPr>
              <w:pStyle w:val="18"/>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olor w:val="auto"/>
                <w:sz w:val="21"/>
                <w:szCs w:val="21"/>
                <w:highlight w:val="none"/>
                <w:vertAlign w:val="baseline"/>
                <w:lang w:eastAsia="zh-CN"/>
              </w:rPr>
            </w:pPr>
            <w:r>
              <w:rPr>
                <w:rFonts w:hint="eastAsia" w:ascii="宋体" w:hAnsi="宋体"/>
                <w:color w:val="auto"/>
                <w:sz w:val="21"/>
                <w:szCs w:val="21"/>
                <w:highlight w:val="none"/>
                <w:vertAlign w:val="baseline"/>
                <w:lang w:eastAsia="zh-CN"/>
              </w:rPr>
              <w:t>环境管理体系认证证书，得</w:t>
            </w:r>
            <w:r>
              <w:rPr>
                <w:rFonts w:hint="eastAsia" w:ascii="宋体" w:hAnsi="宋体"/>
                <w:color w:val="auto"/>
                <w:sz w:val="21"/>
                <w:szCs w:val="21"/>
                <w:highlight w:val="none"/>
                <w:vertAlign w:val="baseline"/>
                <w:lang w:val="en-US" w:eastAsia="zh-CN"/>
              </w:rPr>
              <w:t>2</w:t>
            </w:r>
            <w:r>
              <w:rPr>
                <w:rFonts w:hint="eastAsia" w:ascii="宋体" w:hAnsi="宋体"/>
                <w:color w:val="auto"/>
                <w:sz w:val="21"/>
                <w:szCs w:val="21"/>
                <w:highlight w:val="none"/>
                <w:vertAlign w:val="baseline"/>
                <w:lang w:eastAsia="zh-CN"/>
              </w:rPr>
              <w:t>分；</w:t>
            </w:r>
          </w:p>
          <w:p>
            <w:pPr>
              <w:pStyle w:val="18"/>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olor w:val="auto"/>
                <w:sz w:val="21"/>
                <w:szCs w:val="21"/>
                <w:highlight w:val="none"/>
                <w:vertAlign w:val="baseline"/>
                <w:lang w:eastAsia="zh-CN"/>
              </w:rPr>
            </w:pPr>
            <w:r>
              <w:rPr>
                <w:rFonts w:hint="eastAsia" w:ascii="宋体" w:hAnsi="宋体"/>
                <w:color w:val="auto"/>
                <w:sz w:val="21"/>
                <w:szCs w:val="21"/>
                <w:highlight w:val="none"/>
                <w:vertAlign w:val="baseline"/>
                <w:lang w:eastAsia="zh-CN"/>
              </w:rPr>
              <w:t>3.职业健康安全管理体系认证证书，得</w:t>
            </w:r>
            <w:r>
              <w:rPr>
                <w:rFonts w:hint="eastAsia" w:ascii="宋体" w:hAnsi="宋体"/>
                <w:color w:val="auto"/>
                <w:sz w:val="21"/>
                <w:szCs w:val="21"/>
                <w:highlight w:val="none"/>
                <w:vertAlign w:val="baseline"/>
                <w:lang w:val="en-US" w:eastAsia="zh-CN"/>
              </w:rPr>
              <w:t>2</w:t>
            </w:r>
            <w:r>
              <w:rPr>
                <w:rFonts w:hint="eastAsia" w:ascii="宋体" w:hAnsi="宋体"/>
                <w:color w:val="auto"/>
                <w:sz w:val="21"/>
                <w:szCs w:val="21"/>
                <w:highlight w:val="none"/>
                <w:vertAlign w:val="baseline"/>
                <w:lang w:eastAsia="zh-CN"/>
              </w:rPr>
              <w:t>分。</w:t>
            </w:r>
          </w:p>
          <w:p>
            <w:pPr>
              <w:pStyle w:val="18"/>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rPr>
            </w:pPr>
            <w:r>
              <w:rPr>
                <w:rFonts w:hint="eastAsia" w:ascii="宋体" w:hAnsi="宋体"/>
                <w:color w:val="auto"/>
                <w:sz w:val="21"/>
                <w:szCs w:val="21"/>
                <w:highlight w:val="none"/>
                <w:vertAlign w:val="baseline"/>
                <w:lang w:eastAsia="zh-CN"/>
              </w:rPr>
              <w:t>注：响应文件中须同时提供上述有效期内认证证书的扫描件或影印件以及全国认证认可信息公共服务平台查询截图作为评审依据。</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523" w:type="pct"/>
            <w:vMerge w:val="restart"/>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2</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企业业绩</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top"/>
          </w:tcPr>
          <w:p>
            <w:pPr>
              <w:pStyle w:val="18"/>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vertAlign w:val="baseline"/>
                <w:lang w:val="en-US" w:eastAsia="zh-CN"/>
              </w:rPr>
              <w:t>自 2019年1月1日以来，以合同签订时间为准，具有二级及以上医院的类似服务业绩</w:t>
            </w:r>
            <w:r>
              <w:rPr>
                <w:rFonts w:hint="eastAsia" w:ascii="宋体" w:hAnsi="宋体" w:cs="Times New Roman"/>
                <w:color w:val="auto"/>
                <w:sz w:val="21"/>
                <w:szCs w:val="21"/>
                <w:highlight w:val="none"/>
                <w:vertAlign w:val="baseline"/>
                <w:lang w:val="en-US" w:eastAsia="zh-CN"/>
              </w:rPr>
              <w:t>的（</w:t>
            </w:r>
            <w:r>
              <w:rPr>
                <w:rFonts w:hint="eastAsia" w:ascii="宋体" w:hAnsi="宋体" w:eastAsia="宋体" w:cs="Times New Roman"/>
                <w:color w:val="auto"/>
                <w:sz w:val="21"/>
                <w:szCs w:val="21"/>
                <w:highlight w:val="none"/>
                <w:vertAlign w:val="baseline"/>
                <w:lang w:val="en-US" w:eastAsia="zh-CN"/>
              </w:rPr>
              <w:t>合同内容包含污水站在线监控设备维护和排污许可证自行监测服务内容</w:t>
            </w:r>
            <w:r>
              <w:rPr>
                <w:rFonts w:hint="eastAsia" w:ascii="宋体" w:hAnsi="宋体" w:cs="Times New Roman"/>
                <w:color w:val="auto"/>
                <w:sz w:val="21"/>
                <w:szCs w:val="21"/>
                <w:highlight w:val="none"/>
                <w:vertAlign w:val="baseline"/>
                <w:lang w:val="en-US" w:eastAsia="zh-CN"/>
              </w:rPr>
              <w:t>）</w:t>
            </w:r>
            <w:r>
              <w:rPr>
                <w:rFonts w:hint="eastAsia" w:ascii="宋体" w:hAnsi="宋体" w:eastAsia="宋体" w:cs="Times New Roman"/>
                <w:color w:val="auto"/>
                <w:sz w:val="21"/>
                <w:szCs w:val="21"/>
                <w:highlight w:val="none"/>
                <w:vertAlign w:val="baseline"/>
                <w:lang w:val="en-US" w:eastAsia="zh-CN"/>
              </w:rPr>
              <w:t>，每提供一个业绩，得</w:t>
            </w:r>
            <w:r>
              <w:rPr>
                <w:rFonts w:hint="eastAsia" w:ascii="宋体" w:hAnsi="宋体" w:cs="Times New Roman"/>
                <w:color w:val="auto"/>
                <w:sz w:val="21"/>
                <w:szCs w:val="21"/>
                <w:highlight w:val="none"/>
                <w:vertAlign w:val="baseline"/>
                <w:lang w:val="en-US" w:eastAsia="zh-CN"/>
              </w:rPr>
              <w:t>2</w:t>
            </w:r>
            <w:r>
              <w:rPr>
                <w:rFonts w:hint="eastAsia" w:ascii="宋体" w:hAnsi="宋体" w:eastAsia="宋体" w:cs="Times New Roman"/>
                <w:color w:val="auto"/>
                <w:sz w:val="21"/>
                <w:szCs w:val="21"/>
                <w:highlight w:val="none"/>
                <w:vertAlign w:val="baseline"/>
                <w:lang w:val="en-US" w:eastAsia="zh-CN"/>
              </w:rPr>
              <w:t>分，满分</w:t>
            </w:r>
            <w:r>
              <w:rPr>
                <w:rFonts w:hint="eastAsia" w:ascii="宋体" w:hAnsi="宋体" w:cs="Times New Roman"/>
                <w:color w:val="auto"/>
                <w:sz w:val="21"/>
                <w:szCs w:val="21"/>
                <w:highlight w:val="none"/>
                <w:vertAlign w:val="baseline"/>
                <w:lang w:val="en-US" w:eastAsia="zh-CN"/>
              </w:rPr>
              <w:t>4</w:t>
            </w:r>
            <w:r>
              <w:rPr>
                <w:rFonts w:hint="eastAsia" w:ascii="宋体" w:hAnsi="宋体" w:eastAsia="宋体" w:cs="Times New Roman"/>
                <w:color w:val="auto"/>
                <w:sz w:val="21"/>
                <w:szCs w:val="21"/>
                <w:highlight w:val="none"/>
                <w:vertAlign w:val="baseline"/>
                <w:lang w:val="en-US" w:eastAsia="zh-CN"/>
              </w:rPr>
              <w:t>分。</w:t>
            </w:r>
          </w:p>
          <w:p>
            <w:pPr>
              <w:pStyle w:val="18"/>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Times New Roman"/>
                <w:color w:val="auto"/>
                <w:kern w:val="2"/>
                <w:sz w:val="21"/>
                <w:szCs w:val="21"/>
                <w:highlight w:val="none"/>
                <w:vertAlign w:val="baseline"/>
                <w:lang w:val="zh-CN" w:eastAsia="zh-CN" w:bidi="ar-SA"/>
              </w:rPr>
            </w:pPr>
            <w:r>
              <w:rPr>
                <w:rFonts w:hint="eastAsia" w:ascii="宋体" w:hAnsi="宋体" w:eastAsia="宋体" w:cs="Times New Roman"/>
                <w:color w:val="auto"/>
                <w:sz w:val="21"/>
                <w:szCs w:val="21"/>
                <w:highlight w:val="none"/>
                <w:vertAlign w:val="baseline"/>
                <w:lang w:val="en-US" w:eastAsia="zh-CN"/>
              </w:rPr>
              <w:t>注： 响应文件中提供业绩合同等相关证明材料扫描件，因合同内容无法体现关键评审因素的，须同时提供业主（合同甲方）证明材料，否则不得分；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环境治理设施运行企业服务能力证书</w:t>
            </w:r>
          </w:p>
        </w:tc>
        <w:tc>
          <w:tcPr>
            <w:tcW w:w="2980" w:type="pct"/>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投标人具有“环境治理设施运行企业服务能力等级”证书，在有效期内的，得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分，没有不得分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投标文件中提供证书扫描件</w:t>
            </w:r>
            <w:r>
              <w:rPr>
                <w:rFonts w:hint="eastAsia" w:ascii="宋体" w:hAnsi="宋体" w:cs="宋体"/>
                <w:color w:val="auto"/>
                <w:sz w:val="21"/>
                <w:szCs w:val="21"/>
                <w:lang w:val="en-US" w:eastAsia="zh-CN"/>
              </w:rPr>
              <w:t>。</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2分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实用新型专利或软件著作权证书</w:t>
            </w:r>
          </w:p>
        </w:tc>
        <w:tc>
          <w:tcPr>
            <w:tcW w:w="2980" w:type="pct"/>
            <w:tcBorders>
              <w:top w:val="single" w:color="auto" w:sz="4" w:space="0"/>
              <w:left w:val="single" w:color="auto" w:sz="4" w:space="0"/>
              <w:bottom w:val="single" w:color="auto" w:sz="4" w:space="0"/>
              <w:right w:val="single" w:color="auto" w:sz="4" w:space="0"/>
            </w:tcBorders>
            <w:shd w:val="clear" w:color="auto" w:fill="auto"/>
          </w:tcPr>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投标人具有“环境监测、污水监测或监控”相关的实用新型专利或软件著作权的，每有一项得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分，本项满分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分，没有不得分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投标文件中提供证书复印件</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4分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5</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color w:val="auto"/>
                <w:sz w:val="21"/>
                <w:szCs w:val="21"/>
                <w:highlight w:val="none"/>
                <w:vertAlign w:val="baseline"/>
                <w:lang w:eastAsia="zh-CN"/>
              </w:rPr>
              <w:t>管理机构</w:t>
            </w:r>
          </w:p>
        </w:tc>
        <w:tc>
          <w:tcPr>
            <w:tcW w:w="2980" w:type="pct"/>
            <w:tcBorders>
              <w:top w:val="single" w:color="auto" w:sz="4" w:space="0"/>
              <w:left w:val="single" w:color="auto" w:sz="4" w:space="0"/>
              <w:bottom w:val="single" w:color="auto" w:sz="4" w:space="0"/>
              <w:right w:val="single" w:color="auto" w:sz="4" w:space="0"/>
            </w:tcBorders>
            <w:shd w:val="clear" w:color="auto" w:fill="auto"/>
          </w:tcPr>
          <w:p>
            <w:pPr>
              <w:pStyle w:val="18"/>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color w:val="auto"/>
                <w:sz w:val="21"/>
                <w:szCs w:val="21"/>
                <w:highlight w:val="none"/>
                <w:vertAlign w:val="baseline"/>
                <w:lang w:val="en-US" w:eastAsia="zh-CN"/>
              </w:rPr>
            </w:pPr>
            <w:r>
              <w:rPr>
                <w:rFonts w:hint="eastAsia" w:ascii="宋体" w:hAnsi="宋体" w:eastAsia="宋体" w:cs="Times New Roman"/>
                <w:color w:val="auto"/>
                <w:sz w:val="21"/>
                <w:szCs w:val="21"/>
                <w:highlight w:val="none"/>
                <w:vertAlign w:val="baseline"/>
                <w:lang w:val="en-US" w:eastAsia="zh-CN"/>
              </w:rPr>
              <w:t>拟派本项目负责人有相关环保专业中级以上工程师的得3分；投标人每提供一个自动监测运维工岗位证书得2分，满分9分。</w:t>
            </w:r>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 w:val="21"/>
                <w:szCs w:val="21"/>
                <w:highlight w:val="none"/>
                <w:vertAlign w:val="baseline"/>
                <w:lang w:eastAsia="zh-CN"/>
              </w:rPr>
            </w:pPr>
            <w:r>
              <w:rPr>
                <w:rFonts w:hint="eastAsia" w:ascii="宋体" w:hAnsi="宋体" w:eastAsia="宋体" w:cs="Times New Roman"/>
                <w:color w:val="auto"/>
                <w:sz w:val="21"/>
                <w:szCs w:val="21"/>
                <w:highlight w:val="none"/>
                <w:vertAlign w:val="baseline"/>
                <w:lang w:val="en-US" w:eastAsia="zh-CN"/>
              </w:rPr>
              <w:t>注：提供相关人员的证书扫描件。</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1"/>
                <w:szCs w:val="21"/>
                <w:lang w:val="en-US" w:eastAsia="zh-CN"/>
              </w:rPr>
            </w:pPr>
            <w:r>
              <w:rPr>
                <w:rFonts w:hint="eastAsia"/>
                <w:color w:val="auto"/>
                <w:sz w:val="21"/>
                <w:szCs w:val="21"/>
                <w:lang w:val="en-US" w:eastAsia="zh-CN"/>
              </w:rPr>
              <w:t>9分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color w:val="auto"/>
                <w:sz w:val="21"/>
                <w:szCs w:val="21"/>
              </w:rPr>
            </w:pPr>
          </w:p>
        </w:tc>
      </w:tr>
    </w:tbl>
    <w:p>
      <w:pPr>
        <w:spacing w:line="380" w:lineRule="exact"/>
        <w:ind w:firstLine="405" w:firstLineChars="192"/>
        <w:rPr>
          <w:rFonts w:hint="eastAsia" w:ascii="宋体" w:cs="Times New Roman"/>
          <w:b/>
          <w:bCs/>
          <w:color w:val="auto"/>
          <w:szCs w:val="21"/>
          <w:lang w:val="en-US" w:eastAsia="zh-CN"/>
        </w:rPr>
      </w:pPr>
      <w:r>
        <w:rPr>
          <w:rFonts w:hint="eastAsia" w:ascii="宋体" w:hAnsi="Times New Roman" w:eastAsia="宋体" w:cs="Times New Roman"/>
          <w:b/>
          <w:bCs/>
          <w:color w:val="auto"/>
          <w:szCs w:val="21"/>
        </w:rPr>
        <w:t>注：</w:t>
      </w:r>
      <w:r>
        <w:rPr>
          <w:rFonts w:hint="eastAsia" w:ascii="宋体" w:cs="Times New Roman"/>
          <w:b/>
          <w:bCs/>
          <w:color w:val="auto"/>
          <w:szCs w:val="21"/>
          <w:lang w:val="en-US" w:eastAsia="zh-CN"/>
        </w:rPr>
        <w:t>1.上要求的证明材料需加盖投标单位公章；</w:t>
      </w:r>
    </w:p>
    <w:p>
      <w:pPr>
        <w:spacing w:line="380" w:lineRule="exact"/>
        <w:ind w:firstLine="405" w:firstLineChars="192"/>
        <w:rPr>
          <w:rFonts w:hint="eastAsia" w:ascii="宋体" w:hAnsi="Times New Roman" w:eastAsia="宋体" w:cs="Times New Roman"/>
          <w:b/>
          <w:bCs/>
          <w:color w:val="auto"/>
          <w:szCs w:val="21"/>
          <w:lang w:val="en-US" w:eastAsia="zh-CN"/>
        </w:rPr>
      </w:pPr>
      <w:r>
        <w:rPr>
          <w:rFonts w:hint="eastAsia" w:ascii="宋体" w:cs="Times New Roman"/>
          <w:b/>
          <w:bCs/>
          <w:color w:val="auto"/>
          <w:szCs w:val="21"/>
          <w:lang w:val="en-US" w:eastAsia="zh-CN"/>
        </w:rPr>
        <w:t>2.</w:t>
      </w:r>
      <w:r>
        <w:rPr>
          <w:rFonts w:hint="eastAsia" w:ascii="宋体" w:hAnsi="Times New Roman" w:eastAsia="宋体" w:cs="Times New Roman"/>
          <w:b/>
          <w:bCs/>
          <w:color w:val="auto"/>
          <w:szCs w:val="21"/>
          <w:lang w:val="en-US" w:eastAsia="zh-CN"/>
        </w:rPr>
        <w:t>投标人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pPr>
        <w:spacing w:line="320" w:lineRule="exact"/>
        <w:ind w:firstLine="480" w:firstLineChars="200"/>
        <w:rPr>
          <w:rFonts w:ascii="宋体" w:hAnsi="宋体" w:cs="宋体"/>
          <w:color w:val="auto"/>
          <w:sz w:val="24"/>
        </w:rPr>
      </w:pPr>
    </w:p>
    <w:p>
      <w:pPr>
        <w:spacing w:line="320" w:lineRule="exact"/>
        <w:ind w:firstLine="482" w:firstLineChars="200"/>
        <w:rPr>
          <w:rFonts w:ascii="宋体" w:hAnsi="宋体" w:cs="宋体"/>
          <w:b/>
          <w:bCs/>
          <w:color w:val="auto"/>
          <w:sz w:val="24"/>
        </w:rPr>
      </w:pPr>
      <w:r>
        <w:rPr>
          <w:rFonts w:hint="eastAsia" w:ascii="宋体" w:hAnsi="宋体" w:cs="宋体"/>
          <w:b/>
          <w:bCs/>
          <w:color w:val="auto"/>
          <w:sz w:val="24"/>
        </w:rPr>
        <w:t>6.2技术部分（</w:t>
      </w:r>
      <w:r>
        <w:rPr>
          <w:rFonts w:hint="eastAsia" w:ascii="宋体" w:hAnsi="宋体" w:cs="宋体"/>
          <w:b/>
          <w:bCs/>
          <w:color w:val="auto"/>
          <w:sz w:val="24"/>
          <w:lang w:val="en-US" w:eastAsia="zh-CN"/>
        </w:rPr>
        <w:t>25</w:t>
      </w:r>
      <w:r>
        <w:rPr>
          <w:rFonts w:hint="eastAsia" w:ascii="宋体" w:hAnsi="宋体" w:cs="宋体"/>
          <w:b/>
          <w:bCs/>
          <w:color w:val="auto"/>
          <w:sz w:val="24"/>
        </w:rPr>
        <w:t>分）</w:t>
      </w:r>
    </w:p>
    <w:tbl>
      <w:tblPr>
        <w:tblStyle w:val="50"/>
        <w:tblW w:w="6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17"/>
        <w:gridCol w:w="6343"/>
        <w:gridCol w:w="767"/>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序号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评分因素</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评审标准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分值</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rPr>
            </w:pPr>
            <w:r>
              <w:rPr>
                <w:rFonts w:hint="eastAsia" w:ascii="宋体" w:hAnsi="宋体"/>
                <w:color w:val="auto"/>
                <w:szCs w:val="21"/>
                <w:highlight w:val="none"/>
                <w:vertAlign w:val="baseline"/>
                <w:lang w:eastAsia="zh-CN"/>
              </w:rPr>
              <w:t>维护方案</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vertAlign w:val="baseline"/>
                <w:lang w:eastAsia="zh-CN"/>
              </w:rPr>
            </w:pPr>
            <w:r>
              <w:rPr>
                <w:rFonts w:hint="eastAsia" w:ascii="宋体" w:hAnsi="宋体"/>
                <w:color w:val="auto"/>
                <w:szCs w:val="21"/>
                <w:highlight w:val="none"/>
                <w:vertAlign w:val="baseline"/>
                <w:lang w:eastAsia="zh-CN"/>
              </w:rPr>
              <w:t>投标人编制的运营维护提供技术方案，内容全面、规范、完整、针对性强，包括不限于日常运行、管理、维护维修、检测等工作内容。本项目由评标委员会根据本项目特点及投标文件比较分析评定得分，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1.方案切合实际情况，各部分有深入的表述，解决方</w:t>
            </w:r>
            <w:r>
              <w:rPr>
                <w:rFonts w:hint="default" w:ascii="宋体" w:hAnsi="宋体" w:eastAsia="宋体" w:cs="宋体"/>
                <w:color w:val="auto"/>
                <w:sz w:val="22"/>
                <w:szCs w:val="22"/>
                <w:highlight w:val="none"/>
                <w:lang w:val="en-US" w:eastAsia="zh-CN"/>
              </w:rPr>
              <w:t>案合理、有具体切实可行的保障措施</w:t>
            </w:r>
            <w:r>
              <w:rPr>
                <w:rFonts w:hint="eastAsia" w:ascii="宋体" w:hAnsi="宋体" w:eastAsia="宋体" w:cs="宋体"/>
                <w:color w:val="auto"/>
                <w:sz w:val="22"/>
                <w:szCs w:val="22"/>
                <w:highlight w:val="none"/>
                <w:lang w:val="en-US" w:eastAsia="zh-CN"/>
              </w:rPr>
              <w:t>，优于项目要求的得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2.方案基本符合实际情况，内容完整、表述基本清晰，</w:t>
            </w:r>
            <w:r>
              <w:rPr>
                <w:rFonts w:hint="default" w:ascii="宋体" w:hAnsi="宋体" w:eastAsia="宋体" w:cs="宋体"/>
                <w:color w:val="auto"/>
                <w:sz w:val="22"/>
                <w:szCs w:val="22"/>
                <w:highlight w:val="none"/>
                <w:lang w:val="en-US" w:eastAsia="zh-CN"/>
              </w:rPr>
              <w:t>有保障措施</w:t>
            </w:r>
            <w:r>
              <w:rPr>
                <w:rFonts w:hint="eastAsia" w:ascii="宋体" w:hAnsi="宋体" w:eastAsia="宋体" w:cs="宋体"/>
                <w:color w:val="auto"/>
                <w:sz w:val="22"/>
                <w:szCs w:val="22"/>
                <w:highlight w:val="none"/>
                <w:lang w:val="en-US" w:eastAsia="zh-CN"/>
              </w:rPr>
              <w:t>，满足项目要求的得</w:t>
            </w: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3.方案基本满足项目要求，内容基本完整，考虑了一</w:t>
            </w:r>
            <w:r>
              <w:rPr>
                <w:rFonts w:hint="default" w:ascii="宋体" w:hAnsi="宋体" w:eastAsia="宋体" w:cs="宋体"/>
                <w:color w:val="auto"/>
                <w:sz w:val="22"/>
                <w:szCs w:val="22"/>
                <w:highlight w:val="none"/>
                <w:lang w:val="en-US" w:eastAsia="zh-CN"/>
              </w:rPr>
              <w:t>定的保障措施，保障措施及解决方案出现非专门针对本项目特性内容的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4.方案内容简单，内容有待完善</w:t>
            </w:r>
            <w:r>
              <w:rPr>
                <w:rFonts w:hint="default"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rPr>
            </w:pPr>
            <w:r>
              <w:rPr>
                <w:rFonts w:hint="eastAsia" w:ascii="宋体" w:hAnsi="宋体" w:eastAsia="宋体" w:cs="宋体"/>
                <w:color w:val="auto"/>
                <w:sz w:val="22"/>
                <w:szCs w:val="22"/>
                <w:highlight w:val="none"/>
                <w:lang w:val="en-US" w:eastAsia="zh-CN"/>
              </w:rPr>
              <w:t>5.未提供的不得分。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rFonts w:hint="eastAsia"/>
                <w:color w:val="auto"/>
                <w:lang w:val="en-US" w:eastAsia="zh-CN"/>
              </w:rPr>
              <w:t>15</w:t>
            </w:r>
            <w:r>
              <w:rPr>
                <w:rFonts w:hint="eastAsia"/>
                <w:color w:val="auto"/>
              </w:rPr>
              <w:t>分</w:t>
            </w:r>
          </w:p>
        </w:tc>
        <w:tc>
          <w:tcPr>
            <w:tcW w:w="13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Cs w:val="21"/>
              </w:rPr>
            </w:pPr>
            <w:r>
              <w:rPr>
                <w:rFonts w:hint="eastAsia" w:ascii="宋体" w:hAnsi="宋体" w:cs="宋体"/>
                <w:color w:val="auto"/>
                <w:szCs w:val="21"/>
              </w:rPr>
              <w:t>检验投标文件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售后服务方案</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根据售后服务管理制度、维保方式、维保内容、质保期满后的维保费用、时间保证、售后人员配备等情况进行评分。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1.方案内容详实、表述清晰，售后服务管理制度完善，有具体切实可行的保障措施，售后人员配备充足、故障响应时间短，质保期满后的维保费用科学合理的，得10分；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2.内容完整、表述较清晰，有保障措施，配备售后服务人员，维保费用较为合理的，没有逻辑性和常识性错误的得8分；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3.内容简单有待补充，配备售后服务人员不能满足项目需求，且出现了与项目不相关的内容的得6分；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auto"/>
                <w:sz w:val="22"/>
                <w:szCs w:val="22"/>
                <w:highlight w:val="none"/>
                <w:lang w:val="en-US" w:eastAsia="zh-CN"/>
              </w:rPr>
              <w:t>方案内容简单，内容有待完善</w:t>
            </w:r>
            <w:r>
              <w:rPr>
                <w:rFonts w:hint="default"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en-US" w:eastAsia="zh-CN"/>
              </w:rPr>
              <w:t>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5.未提供不得分。</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color w:val="auto"/>
                <w:lang w:val="en-US" w:eastAsia="zh-CN"/>
              </w:rPr>
              <w:t>10分</w:t>
            </w:r>
          </w:p>
        </w:tc>
        <w:tc>
          <w:tcPr>
            <w:tcW w:w="13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rPr>
            </w:pPr>
          </w:p>
        </w:tc>
      </w:tr>
    </w:tbl>
    <w:p>
      <w:pPr>
        <w:spacing w:line="320" w:lineRule="exact"/>
        <w:ind w:firstLine="480" w:firstLineChars="200"/>
        <w:rPr>
          <w:rFonts w:ascii="宋体" w:hAnsi="宋体" w:cs="宋体"/>
          <w:color w:val="auto"/>
          <w:sz w:val="24"/>
        </w:rPr>
      </w:pPr>
    </w:p>
    <w:p>
      <w:pPr>
        <w:spacing w:line="320" w:lineRule="exact"/>
        <w:ind w:firstLine="480" w:firstLineChars="200"/>
        <w:rPr>
          <w:rFonts w:hint="eastAsia" w:ascii="宋体" w:hAnsi="宋体" w:cs="宋体"/>
          <w:color w:val="auto"/>
          <w:sz w:val="24"/>
        </w:rPr>
      </w:pPr>
    </w:p>
    <w:p>
      <w:pPr>
        <w:spacing w:line="320" w:lineRule="exact"/>
        <w:ind w:firstLine="480" w:firstLineChars="200"/>
        <w:rPr>
          <w:rFonts w:hint="eastAsia" w:ascii="宋体" w:hAnsi="宋体" w:cs="宋体"/>
          <w:color w:val="auto"/>
          <w:sz w:val="24"/>
        </w:rPr>
      </w:pPr>
    </w:p>
    <w:p>
      <w:pPr>
        <w:spacing w:line="320" w:lineRule="exact"/>
        <w:ind w:firstLine="482" w:firstLineChars="200"/>
        <w:rPr>
          <w:rFonts w:ascii="宋体" w:hAnsi="宋体" w:cs="宋体"/>
          <w:b/>
          <w:bCs/>
          <w:color w:val="auto"/>
          <w:sz w:val="24"/>
        </w:rPr>
      </w:pPr>
      <w:r>
        <w:rPr>
          <w:rFonts w:hint="eastAsia" w:ascii="宋体" w:hAnsi="宋体" w:cs="宋体"/>
          <w:b/>
          <w:bCs/>
          <w:color w:val="auto"/>
          <w:sz w:val="24"/>
        </w:rPr>
        <w:t>6.3商务部分（</w:t>
      </w:r>
      <w:r>
        <w:rPr>
          <w:rFonts w:hint="eastAsia" w:ascii="宋体" w:hAnsi="宋体" w:cs="宋体"/>
          <w:b/>
          <w:bCs/>
          <w:color w:val="auto"/>
          <w:sz w:val="24"/>
          <w:lang w:val="en-US" w:eastAsia="zh-CN"/>
        </w:rPr>
        <w:t>50</w:t>
      </w:r>
      <w:r>
        <w:rPr>
          <w:rFonts w:hint="eastAsia" w:ascii="宋体" w:hAnsi="宋体" w:cs="宋体"/>
          <w:b/>
          <w:bCs/>
          <w:color w:val="auto"/>
          <w:sz w:val="24"/>
        </w:rPr>
        <w:t>分）</w:t>
      </w:r>
    </w:p>
    <w:tbl>
      <w:tblPr>
        <w:tblStyle w:val="50"/>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rPr>
            </w:pPr>
            <w:r>
              <w:rPr>
                <w:rFonts w:hint="eastAsia" w:ascii="宋体" w:hAnsi="宋体" w:cs="宋体"/>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pPr>
              <w:spacing w:line="400" w:lineRule="exact"/>
              <w:jc w:val="center"/>
              <w:textAlignment w:val="center"/>
              <w:rPr>
                <w:rFonts w:ascii="宋体" w:hAnsi="宋体"/>
                <w:b/>
                <w:bCs/>
                <w:color w:val="auto"/>
                <w:szCs w:val="21"/>
              </w:rPr>
            </w:pPr>
            <w:r>
              <w:rPr>
                <w:rFonts w:hint="eastAsia" w:ascii="宋体" w:hAnsi="宋体"/>
                <w:b/>
                <w:bCs/>
                <w:color w:val="auto"/>
                <w:szCs w:val="21"/>
              </w:rPr>
              <w:t>报  价</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Cs w:val="21"/>
              </w:rPr>
            </w:pPr>
            <w:r>
              <w:rPr>
                <w:rFonts w:hint="eastAsia" w:ascii="宋体" w:hAnsi="宋体" w:cs="宋体"/>
                <w:b/>
                <w:bCs/>
                <w:color w:val="auto"/>
                <w:szCs w:val="21"/>
                <w:lang w:val="en-US" w:eastAsia="zh-CN"/>
              </w:rPr>
              <w:t>1.</w:t>
            </w:r>
            <w:r>
              <w:rPr>
                <w:rFonts w:hint="eastAsia" w:ascii="宋体" w:hAnsi="宋体" w:cs="宋体"/>
                <w:b/>
                <w:bCs/>
                <w:color w:val="auto"/>
                <w:szCs w:val="21"/>
              </w:rPr>
              <w:t>采购人设置投标报价最高限价（</w:t>
            </w:r>
            <w:r>
              <w:rPr>
                <w:rFonts w:hint="eastAsia" w:ascii="宋体" w:hAnsi="宋体" w:cs="宋体"/>
                <w:b/>
                <w:bCs/>
                <w:color w:val="auto"/>
                <w:szCs w:val="21"/>
                <w:lang w:val="en-US" w:eastAsia="zh-CN"/>
              </w:rPr>
              <w:t>20</w:t>
            </w:r>
            <w:r>
              <w:rPr>
                <w:rFonts w:hint="eastAsia" w:ascii="宋体" w:hAnsi="宋体" w:cs="宋体"/>
                <w:b/>
                <w:bCs/>
                <w:color w:val="auto"/>
                <w:szCs w:val="21"/>
              </w:rPr>
              <w:t>万元），各投标人有效总报价不得高于最高限价，否则，其投标文件按无效标处理。</w:t>
            </w:r>
          </w:p>
          <w:p>
            <w:pPr>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评标基准价=所有效投标人的最低报价，其得分为满分；</w:t>
            </w:r>
          </w:p>
          <w:p>
            <w:pPr>
              <w:spacing w:line="36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报价得分=评标基准价/投标报价*</w:t>
            </w:r>
            <w:r>
              <w:rPr>
                <w:rFonts w:hint="eastAsia" w:ascii="宋体" w:hAnsi="宋体" w:cs="宋体"/>
                <w:color w:val="auto"/>
                <w:szCs w:val="21"/>
                <w:lang w:val="en-US" w:eastAsia="zh-CN"/>
              </w:rPr>
              <w:t>50</w:t>
            </w:r>
            <w:r>
              <w:rPr>
                <w:rFonts w:hint="eastAsia" w:ascii="宋体" w:hAnsi="宋体" w:cs="宋体"/>
                <w:color w:val="auto"/>
                <w:szCs w:val="21"/>
              </w:rPr>
              <w:t>分（小数点后保留两位小数，第三位四舍五入）；</w:t>
            </w:r>
          </w:p>
          <w:p>
            <w:pPr>
              <w:spacing w:line="360" w:lineRule="exact"/>
              <w:rPr>
                <w:rFonts w:hint="eastAsia" w:ascii="宋体" w:hAnsi="宋体" w:cs="宋体"/>
                <w:color w:val="auto"/>
                <w:szCs w:val="21"/>
              </w:rPr>
            </w:pPr>
            <w:r>
              <w:rPr>
                <w:rFonts w:hint="eastAsia" w:ascii="宋体" w:hAnsi="宋体" w:eastAsia="宋体" w:cs="Times New Roman"/>
                <w:b/>
                <w:bCs/>
                <w:color w:val="auto"/>
                <w:kern w:val="2"/>
                <w:sz w:val="21"/>
                <w:szCs w:val="21"/>
                <w:highlight w:val="none"/>
                <w:vertAlign w:val="baseline"/>
                <w:lang w:val="en-US" w:eastAsia="zh-CN" w:bidi="ar-SA"/>
              </w:rPr>
              <w:t>注：评标委员会认为投标人的报价明显低于其他通过符合性审查投标人的报价（投标报价低于有效投标人的评标价平均值40%时视为异常低价），有可能影响产品质量或者不能诚信履约的，应当要求其在系统中合理的时间内提供说明，并提交相关证明材料；投标人不能证明其报价合理性的，评标委员会应当将其作为无效投标处理。</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lang w:val="en-US" w:eastAsia="zh-CN"/>
              </w:rPr>
              <w:t>50</w:t>
            </w:r>
            <w:r>
              <w:rPr>
                <w:rFonts w:hint="eastAsia" w:ascii="宋体" w:hAnsi="宋体" w:cs="宋体"/>
                <w:color w:val="auto"/>
                <w:szCs w:val="21"/>
              </w:rPr>
              <w:t>分</w:t>
            </w:r>
          </w:p>
        </w:tc>
      </w:tr>
    </w:tbl>
    <w:p>
      <w:pPr>
        <w:overflowPunct w:val="0"/>
        <w:adjustRightInd w:val="0"/>
        <w:snapToGrid w:val="0"/>
        <w:spacing w:line="440" w:lineRule="exact"/>
        <w:ind w:firstLine="498" w:firstLineChars="236"/>
        <w:rPr>
          <w:b/>
          <w:color w:val="auto"/>
          <w:szCs w:val="21"/>
        </w:rPr>
      </w:pPr>
      <w:r>
        <w:rPr>
          <w:rFonts w:hint="eastAsia"/>
          <w:b/>
          <w:color w:val="auto"/>
          <w:szCs w:val="21"/>
        </w:rPr>
        <w:t>特别说明：1.以上分值均保留二位小数，小数点后第三位四舍五入</w:t>
      </w:r>
    </w:p>
    <w:p>
      <w:pPr>
        <w:numPr>
          <w:ilvl w:val="0"/>
          <w:numId w:val="3"/>
        </w:numPr>
        <w:spacing w:line="400" w:lineRule="exact"/>
        <w:jc w:val="center"/>
        <w:outlineLvl w:val="1"/>
        <w:rPr>
          <w:rFonts w:hint="eastAsia" w:ascii="宋体"/>
          <w:b/>
          <w:color w:val="auto"/>
          <w:sz w:val="24"/>
        </w:rPr>
      </w:pPr>
      <w:bookmarkStart w:id="549" w:name="_Hlk91343611"/>
      <w:r>
        <w:rPr>
          <w:rFonts w:hint="eastAsia" w:ascii="宋体"/>
          <w:b/>
          <w:color w:val="auto"/>
          <w:sz w:val="24"/>
        </w:rPr>
        <w:t>推荐中标候选人</w:t>
      </w:r>
    </w:p>
    <w:p>
      <w:pPr>
        <w:snapToGrid w:val="0"/>
        <w:spacing w:line="440" w:lineRule="exact"/>
        <w:ind w:firstLine="570"/>
        <w:rPr>
          <w:rFonts w:hint="eastAsia" w:ascii="宋体" w:hAnsi="Times New Roman" w:eastAsia="宋体" w:cs="Times New Roman"/>
          <w:b/>
          <w:color w:val="auto"/>
          <w:szCs w:val="21"/>
          <w:lang w:val="en-US" w:eastAsia="zh-CN"/>
        </w:rPr>
      </w:pPr>
      <w:r>
        <w:rPr>
          <w:rFonts w:hint="eastAsia" w:ascii="宋体" w:hAnsi="Times New Roman" w:eastAsia="宋体" w:cs="Times New Roman"/>
          <w:b/>
          <w:color w:val="auto"/>
          <w:szCs w:val="21"/>
          <w:lang w:val="en-US" w:eastAsia="zh-CN"/>
        </w:rPr>
        <w:t>7.评审结果</w:t>
      </w:r>
    </w:p>
    <w:p>
      <w:pPr>
        <w:numPr>
          <w:ilvl w:val="0"/>
          <w:numId w:val="0"/>
        </w:numPr>
        <w:snapToGrid w:val="0"/>
        <w:spacing w:line="440" w:lineRule="exact"/>
        <w:ind w:firstLine="630" w:firstLineChars="300"/>
        <w:jc w:val="left"/>
        <w:rPr>
          <w:rFonts w:hint="eastAsia" w:ascii="宋体"/>
          <w:color w:val="auto"/>
          <w:szCs w:val="21"/>
        </w:rPr>
      </w:pPr>
      <w:r>
        <w:rPr>
          <w:rFonts w:hint="eastAsia" w:ascii="宋体"/>
          <w:color w:val="auto"/>
          <w:szCs w:val="21"/>
          <w:lang w:val="en-US" w:eastAsia="zh-CN"/>
        </w:rPr>
        <w:t>7.1</w:t>
      </w:r>
      <w:r>
        <w:rPr>
          <w:rFonts w:hint="eastAsia" w:ascii="宋体"/>
          <w:color w:val="auto"/>
          <w:szCs w:val="21"/>
        </w:rPr>
        <w:t>评标委员会对经过综合评审的投标人，按综合评审得分从高到低的顺序依次推荐1-3名中标候选人。排名第一的为首选中标侯选人，依次类推第二、第三中标侯选人。</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w:t>
      </w:r>
      <w:r>
        <w:rPr>
          <w:rFonts w:hint="eastAsia" w:ascii="宋体"/>
          <w:color w:val="auto"/>
          <w:szCs w:val="21"/>
        </w:rPr>
        <w:t>.2评标委员会完成评标后，应当向招标人提交书面评标报告。</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w:t>
      </w:r>
      <w:r>
        <w:rPr>
          <w:rFonts w:hint="eastAsia" w:ascii="宋体"/>
          <w:color w:val="auto"/>
          <w:szCs w:val="21"/>
        </w:rPr>
        <w:t>例外情况</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7.3.1</w:t>
      </w:r>
      <w:r>
        <w:rPr>
          <w:rFonts w:hint="eastAsia" w:ascii="宋体"/>
          <w:color w:val="auto"/>
          <w:szCs w:val="21"/>
        </w:rPr>
        <w:t>当出现投标人综合评审得分相等时，按下列顺序排序：“投标报价”得分高的优先；仍相同时，由评标委员会现场抽签确定顺序。</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7.3.2</w:t>
      </w:r>
      <w:r>
        <w:rPr>
          <w:rFonts w:hint="eastAsia" w:ascii="宋体"/>
          <w:color w:val="auto"/>
          <w:szCs w:val="21"/>
        </w:rPr>
        <w:t>当评标委员会认为各投标报价均较高时，可以否决全部投标。</w:t>
      </w:r>
    </w:p>
    <w:p>
      <w:pPr>
        <w:snapToGrid w:val="0"/>
        <w:spacing w:line="440" w:lineRule="exact"/>
        <w:ind w:firstLine="570"/>
        <w:jc w:val="left"/>
        <w:rPr>
          <w:rFonts w:hint="eastAsia" w:ascii="宋体"/>
          <w:color w:val="auto"/>
          <w:szCs w:val="21"/>
        </w:rPr>
      </w:pPr>
      <w:r>
        <w:rPr>
          <w:rFonts w:hint="eastAsia" w:ascii="宋体"/>
          <w:color w:val="auto"/>
          <w:szCs w:val="21"/>
          <w:lang w:val="en-US" w:eastAsia="zh-CN"/>
        </w:rPr>
        <w:t>7.3.3</w:t>
      </w:r>
      <w:r>
        <w:rPr>
          <w:rFonts w:hint="eastAsia" w:ascii="宋体"/>
          <w:color w:val="auto"/>
          <w:szCs w:val="21"/>
        </w:rPr>
        <w:t>招标文件条款存在含义不清或者相互矛盾的，评标委员会应当针对相应条款作出有利于相应投标人的结论。</w:t>
      </w:r>
    </w:p>
    <w:p>
      <w:pPr>
        <w:snapToGrid w:val="0"/>
        <w:spacing w:line="440" w:lineRule="exact"/>
        <w:ind w:firstLine="570"/>
        <w:rPr>
          <w:rFonts w:ascii="宋体"/>
          <w:b/>
          <w:color w:val="auto"/>
          <w:szCs w:val="21"/>
        </w:rPr>
      </w:pPr>
      <w:r>
        <w:rPr>
          <w:rFonts w:hint="eastAsia" w:ascii="宋体"/>
          <w:b/>
          <w:color w:val="auto"/>
          <w:szCs w:val="21"/>
        </w:rPr>
        <w:t>8.</w:t>
      </w:r>
      <w:r>
        <w:rPr>
          <w:rFonts w:hint="eastAsia" w:ascii="宋体" w:hAnsi="宋体"/>
          <w:b/>
          <w:color w:val="auto"/>
          <w:sz w:val="24"/>
        </w:rPr>
        <w:t xml:space="preserve"> </w:t>
      </w:r>
      <w:bookmarkStart w:id="550" w:name="_Hlk61815781"/>
      <w:r>
        <w:rPr>
          <w:rFonts w:hint="eastAsia" w:ascii="宋体"/>
          <w:b/>
          <w:color w:val="auto"/>
          <w:szCs w:val="21"/>
        </w:rPr>
        <w:t>无效投标条款</w:t>
      </w:r>
    </w:p>
    <w:p>
      <w:pPr>
        <w:snapToGrid w:val="0"/>
        <w:spacing w:line="440" w:lineRule="exact"/>
        <w:ind w:firstLine="525" w:firstLineChars="250"/>
        <w:rPr>
          <w:rFonts w:ascii="宋体" w:cs="宋体"/>
          <w:color w:val="auto"/>
          <w:szCs w:val="21"/>
        </w:rPr>
      </w:pPr>
      <w:r>
        <w:rPr>
          <w:rFonts w:hint="eastAsia" w:ascii="宋体" w:cs="宋体"/>
          <w:color w:val="auto"/>
          <w:szCs w:val="21"/>
        </w:rPr>
        <w:t>8.1投标文件有下列情形之一的,其投标文件拒收:</w:t>
      </w:r>
    </w:p>
    <w:p>
      <w:pPr>
        <w:snapToGrid w:val="0"/>
        <w:spacing w:line="440" w:lineRule="exact"/>
        <w:ind w:firstLine="420"/>
        <w:rPr>
          <w:rFonts w:ascii="宋体" w:hAnsi="宋体" w:cs="宋体"/>
          <w:b/>
          <w:bCs/>
          <w:color w:val="auto"/>
          <w:szCs w:val="21"/>
        </w:rPr>
      </w:pPr>
      <w:r>
        <w:rPr>
          <w:rFonts w:hint="eastAsia" w:ascii="宋体" w:cs="宋体"/>
          <w:color w:val="auto"/>
          <w:szCs w:val="21"/>
        </w:rPr>
        <w:t xml:space="preserve"> </w:t>
      </w:r>
      <w:r>
        <w:rPr>
          <w:rFonts w:hint="eastAsia" w:ascii="宋体" w:hAnsi="宋体" w:cs="宋体"/>
          <w:b/>
          <w:bCs/>
          <w:color w:val="auto"/>
          <w:szCs w:val="21"/>
        </w:rPr>
        <w:t xml:space="preserve"> 未在开标截止时间前递交投标文件的，不予接收，投标将被拒绝。</w:t>
      </w:r>
    </w:p>
    <w:p>
      <w:pPr>
        <w:snapToGrid w:val="0"/>
        <w:spacing w:line="440" w:lineRule="exact"/>
        <w:ind w:firstLine="420"/>
        <w:rPr>
          <w:rFonts w:ascii="宋体" w:hAnsi="宋体" w:cs="宋体"/>
          <w:color w:val="auto"/>
          <w:szCs w:val="21"/>
        </w:rPr>
      </w:pPr>
      <w:r>
        <w:rPr>
          <w:rFonts w:hint="eastAsia" w:ascii="宋体" w:hAnsi="宋体" w:cs="宋体"/>
          <w:color w:val="auto"/>
          <w:szCs w:val="21"/>
        </w:rPr>
        <w:t>8.2投标人有下列情形之一的,资格审查后其投标作无效投标处理：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(1)投标人为本项目提供招标代理服务的；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(2)投标人与在本项目代理机构存在相互任职或工作的；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(3)被暂停营业的；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(4)被暂停或取消投标资格的；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(5)财产被接管或冻结的；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(6)投标人单位负责人为同一人或者存在控股、管理关系的不同单位的；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 投标人基本资格条件和特定资格条件中有一项及以上不符合要求的；</w:t>
      </w:r>
    </w:p>
    <w:p>
      <w:pPr>
        <w:snapToGrid w:val="0"/>
        <w:spacing w:line="440" w:lineRule="exact"/>
        <w:ind w:firstLine="420" w:firstLineChars="200"/>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 xml:space="preserve"> 投标人单方面出现其他投标人材料的；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(9) 招标文件规定的其它无效投标情形。</w:t>
      </w:r>
    </w:p>
    <w:p>
      <w:pPr>
        <w:snapToGrid w:val="0"/>
        <w:spacing w:line="440" w:lineRule="exac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(2)未按规定的格式填写，实质性内容不全或关键字迹模糊、无法辨认的；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(4)投标文件没有对招标文件的实质性要求和条件作出响应;</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(7)投标文件含有采购人不能接受的附加条件的；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(8)招标文件规定的其它无效投标情形。</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(1)投标产品不符合必须强制执行的国家标准的；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(2)投标人有串通投标、弄虚作假、行贿等违法行为；</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(3)投标文件含有违反国家法律、法规的内容，或附有采购人不能接受的条件的；</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报价明显低于其他投标人，且不能证明报价合理性的投标无效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拒不确认评标委员会评审修正的投标无效</w:t>
      </w:r>
      <w:r>
        <w:rPr>
          <w:rFonts w:hint="eastAsia" w:ascii="宋体" w:hAnsi="宋体" w:cs="宋体"/>
          <w:color w:val="auto"/>
          <w:szCs w:val="21"/>
        </w:rPr>
        <w:t>；</w:t>
      </w:r>
    </w:p>
    <w:p>
      <w:pPr>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(7)招标文件规定的其它无效投标情形。</w:t>
      </w:r>
    </w:p>
    <w:bookmarkEnd w:id="550"/>
    <w:p>
      <w:pPr>
        <w:jc w:val="center"/>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第</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 xml:space="preserve">章 </w:t>
      </w:r>
      <w:r>
        <w:rPr>
          <w:rFonts w:hint="eastAsia" w:ascii="宋体" w:hAnsi="宋体" w:cs="宋体"/>
          <w:b/>
          <w:bCs/>
          <w:color w:val="auto"/>
          <w:sz w:val="32"/>
          <w:szCs w:val="32"/>
          <w:lang w:val="en-US" w:eastAsia="zh-CN"/>
        </w:rPr>
        <w:t>服务</w:t>
      </w:r>
      <w:r>
        <w:rPr>
          <w:rFonts w:hint="eastAsia" w:ascii="宋体" w:hAnsi="宋体" w:cs="宋体"/>
          <w:b/>
          <w:bCs/>
          <w:color w:val="auto"/>
          <w:sz w:val="32"/>
          <w:szCs w:val="32"/>
        </w:rPr>
        <w:t>需求</w:t>
      </w:r>
    </w:p>
    <w:bookmarkEnd w:id="48"/>
    <w:bookmarkEnd w:id="549"/>
    <w:p>
      <w:pPr>
        <w:pStyle w:val="47"/>
        <w:widowControl/>
        <w:spacing w:before="0" w:beforeLines="0" w:beforeAutospacing="0" w:after="0" w:afterLines="0" w:afterAutospacing="0" w:line="360" w:lineRule="auto"/>
        <w:textAlignment w:val="baseline"/>
        <w:outlineLvl w:val="0"/>
        <w:rPr>
          <w:rFonts w:hint="default" w:ascii="宋体" w:hAnsi="宋体" w:cs="宋体"/>
          <w:b/>
          <w:color w:val="auto"/>
          <w:sz w:val="21"/>
          <w:szCs w:val="21"/>
        </w:rPr>
      </w:pPr>
      <w:bookmarkStart w:id="551" w:name="_Toc35864588"/>
      <w:bookmarkStart w:id="552" w:name="_Toc26076"/>
      <w:bookmarkStart w:id="553" w:name="_Toc22466"/>
      <w:bookmarkStart w:id="554" w:name="_Toc22879"/>
      <w:bookmarkStart w:id="555" w:name="_Toc15832"/>
      <w:bookmarkStart w:id="556" w:name="_Toc31972"/>
      <w:bookmarkStart w:id="557" w:name="_Toc24931"/>
      <w:r>
        <w:rPr>
          <w:rFonts w:hint="default" w:ascii="宋体" w:hAnsi="宋体" w:cs="宋体"/>
          <w:b/>
          <w:color w:val="auto"/>
          <w:sz w:val="21"/>
          <w:szCs w:val="21"/>
        </w:rPr>
        <w:t>一、项目服务内容及期限：</w:t>
      </w:r>
    </w:p>
    <w:p>
      <w:pPr>
        <w:pStyle w:val="47"/>
        <w:widowControl/>
        <w:spacing w:before="0" w:beforeLines="0" w:beforeAutospacing="0" w:after="0" w:afterLines="0" w:afterAutospacing="0" w:line="360" w:lineRule="auto"/>
        <w:ind w:firstLine="560"/>
        <w:textAlignment w:val="baseline"/>
        <w:outlineLvl w:val="2"/>
        <w:rPr>
          <w:rFonts w:hint="default" w:ascii="宋体" w:hAnsi="宋体" w:cs="宋体"/>
          <w:b/>
          <w:color w:val="auto"/>
          <w:sz w:val="21"/>
          <w:szCs w:val="21"/>
        </w:rPr>
      </w:pPr>
      <w:r>
        <w:rPr>
          <w:rFonts w:hint="default" w:ascii="宋体" w:hAnsi="宋体" w:cs="宋体"/>
          <w:b/>
          <w:color w:val="auto"/>
          <w:sz w:val="21"/>
          <w:szCs w:val="21"/>
        </w:rPr>
        <w:t>（一）污水站在线监控设备维护</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（1）服务设备的名称：</w:t>
      </w:r>
    </w:p>
    <w:tbl>
      <w:tblPr>
        <w:tblStyle w:val="5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7"/>
        <w:gridCol w:w="2862"/>
        <w:gridCol w:w="2162"/>
        <w:gridCol w:w="7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序号</w:t>
            </w:r>
          </w:p>
        </w:tc>
        <w:tc>
          <w:tcPr>
            <w:tcW w:w="28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名称</w:t>
            </w:r>
          </w:p>
        </w:tc>
        <w:tc>
          <w:tcPr>
            <w:tcW w:w="21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品牌规格</w:t>
            </w:r>
          </w:p>
        </w:tc>
        <w:tc>
          <w:tcPr>
            <w:tcW w:w="73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单位</w:t>
            </w:r>
          </w:p>
        </w:tc>
        <w:tc>
          <w:tcPr>
            <w:tcW w:w="8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1</w:t>
            </w:r>
          </w:p>
        </w:tc>
        <w:tc>
          <w:tcPr>
            <w:tcW w:w="28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环保数采仪</w:t>
            </w:r>
          </w:p>
        </w:tc>
        <w:tc>
          <w:tcPr>
            <w:tcW w:w="21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安徽碧水WHJJ</w:t>
            </w:r>
          </w:p>
        </w:tc>
        <w:tc>
          <w:tcPr>
            <w:tcW w:w="73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套</w:t>
            </w:r>
          </w:p>
        </w:tc>
        <w:tc>
          <w:tcPr>
            <w:tcW w:w="8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2</w:t>
            </w:r>
          </w:p>
        </w:tc>
        <w:tc>
          <w:tcPr>
            <w:tcW w:w="28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超声波流量计</w:t>
            </w:r>
          </w:p>
        </w:tc>
        <w:tc>
          <w:tcPr>
            <w:tcW w:w="21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北京久波WL-1A1</w:t>
            </w:r>
          </w:p>
        </w:tc>
        <w:tc>
          <w:tcPr>
            <w:tcW w:w="73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套</w:t>
            </w:r>
          </w:p>
        </w:tc>
        <w:tc>
          <w:tcPr>
            <w:tcW w:w="8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kern w:val="0"/>
                <w:sz w:val="21"/>
                <w:szCs w:val="21"/>
              </w:rPr>
            </w:pPr>
            <w:r>
              <w:rPr>
                <w:rFonts w:hint="default"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3</w:t>
            </w:r>
          </w:p>
        </w:tc>
        <w:tc>
          <w:tcPr>
            <w:tcW w:w="28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COD分析仪</w:t>
            </w:r>
          </w:p>
        </w:tc>
        <w:tc>
          <w:tcPr>
            <w:tcW w:w="21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安徽碧水BS-2008</w:t>
            </w:r>
          </w:p>
        </w:tc>
        <w:tc>
          <w:tcPr>
            <w:tcW w:w="73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套</w:t>
            </w:r>
          </w:p>
        </w:tc>
        <w:tc>
          <w:tcPr>
            <w:tcW w:w="8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40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4</w:t>
            </w:r>
          </w:p>
        </w:tc>
        <w:tc>
          <w:tcPr>
            <w:tcW w:w="28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氨氮分析仪</w:t>
            </w:r>
          </w:p>
        </w:tc>
        <w:tc>
          <w:tcPr>
            <w:tcW w:w="216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安徽碧水BS-NH</w:t>
            </w:r>
            <w:r>
              <w:rPr>
                <w:rFonts w:hint="default" w:ascii="宋体" w:hAnsi="宋体" w:cs="宋体"/>
                <w:color w:val="auto"/>
                <w:kern w:val="0"/>
                <w:sz w:val="21"/>
                <w:szCs w:val="21"/>
                <w:vertAlign w:val="subscript"/>
              </w:rPr>
              <w:t>3</w:t>
            </w:r>
            <w:r>
              <w:rPr>
                <w:rFonts w:hint="default" w:ascii="宋体" w:hAnsi="宋体" w:cs="宋体"/>
                <w:color w:val="auto"/>
                <w:kern w:val="0"/>
                <w:sz w:val="21"/>
                <w:szCs w:val="21"/>
              </w:rPr>
              <w:t>-N</w:t>
            </w:r>
          </w:p>
        </w:tc>
        <w:tc>
          <w:tcPr>
            <w:tcW w:w="73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套</w:t>
            </w:r>
          </w:p>
        </w:tc>
        <w:tc>
          <w:tcPr>
            <w:tcW w:w="8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beforeLines="0" w:afterLines="0" w:line="360" w:lineRule="auto"/>
              <w:jc w:val="center"/>
              <w:textAlignment w:val="center"/>
              <w:rPr>
                <w:rFonts w:hint="default" w:ascii="宋体" w:hAnsi="宋体" w:cs="宋体"/>
                <w:color w:val="auto"/>
                <w:sz w:val="21"/>
                <w:szCs w:val="21"/>
              </w:rPr>
            </w:pPr>
            <w:r>
              <w:rPr>
                <w:rFonts w:hint="default" w:ascii="宋体" w:hAnsi="宋体" w:cs="宋体"/>
                <w:color w:val="auto"/>
                <w:kern w:val="0"/>
                <w:sz w:val="21"/>
                <w:szCs w:val="21"/>
              </w:rPr>
              <w:t>1</w:t>
            </w:r>
          </w:p>
        </w:tc>
      </w:tr>
    </w:tbl>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（2）本次招标主要包含以上监测设备日常维护、检测比对保养以及更换在线仪表消耗品（试剂）和易损件、仪器维修、软件升级等所有费用。所需的所有试剂、耗材、易损配件、检测比对等相关服务。</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（3）污水站为连续性出水，出水COD、氨氮采样频次必须满足现行在线设备环保验收规范要求（目前环保部门要求的频次为12次/天），按照排污许可要求进行网上数据填报。</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（4）按照设备说明书规定的程序和日常维护要求，每月4次维护、保养监测系统，及时补充更换所有运行消耗品和易损件，及时清洁维护采样系统；</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（5）做好各在线监测点设备的运行、维护和维修水污染源自动监测仪日常巡检表、校准、故障维修、校验、易耗品更换记录表，即时收集设备检测中产生的废液。</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6）监测设备出现异常故障，必须在4小时内到达现场进行维修，如不属于零部件损坏，要在4小时内排除故障；如零部件和主机板等大件损坏24小时内修复，特殊情况双方商定，以保证在线监测设备正常运行，数据传输通畅。</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（7）在线设备每月进行一次校准、校验。每月委托第三方环境监测机构对污水排放口进行比对监测，并达到国家在线设备比对要求。比对监测结果及时报给医院。建立计量档案，保证监测数据合格有效。</w:t>
      </w:r>
    </w:p>
    <w:p>
      <w:pPr>
        <w:pStyle w:val="47"/>
        <w:widowControl/>
        <w:spacing w:before="0" w:beforeLines="0" w:beforeAutospacing="0" w:after="0" w:afterLines="0" w:afterAutospacing="0" w:line="360" w:lineRule="auto"/>
        <w:ind w:firstLine="560"/>
        <w:textAlignment w:val="baseline"/>
        <w:outlineLvl w:val="2"/>
        <w:rPr>
          <w:rFonts w:hint="default" w:ascii="宋体" w:hAnsi="宋体" w:cs="宋体"/>
          <w:b/>
          <w:color w:val="auto"/>
          <w:sz w:val="21"/>
          <w:szCs w:val="21"/>
        </w:rPr>
      </w:pPr>
      <w:r>
        <w:rPr>
          <w:rFonts w:hint="default" w:ascii="宋体" w:hAnsi="宋体" w:cs="宋体"/>
          <w:b/>
          <w:color w:val="auto"/>
          <w:sz w:val="21"/>
          <w:szCs w:val="21"/>
        </w:rPr>
        <w:t>（二）排污许可证自行监测服务</w:t>
      </w:r>
    </w:p>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1、依据《医疗机构排污许可证申请与核发技术规范》HJ1105-2020和《排污许可证管理暂行规定》中规范要求，对我院污水站的总排口废水、污水处理站的有组织废气、无组织废气、污水处理站周界噪声进行手工检测，并依据手工检测结果和在线监测设备数据进行网上实时填报发布，并按照安徽省排污单位自行监测信息发布平台的要求制定自行监测方案、自行监测报告、平台数据维护等工作，同步和环保主管部门做好所有数据的对接工作。所有涉及手工检测项须由具备CMA资质的第三方检测机构出具检测报告。具体监测内容如下：</w:t>
      </w:r>
    </w:p>
    <w:tbl>
      <w:tblPr>
        <w:tblStyle w:val="50"/>
        <w:tblW w:w="8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1169"/>
        <w:gridCol w:w="2140"/>
        <w:gridCol w:w="1167"/>
        <w:gridCol w:w="1858"/>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b/>
                <w:color w:val="auto"/>
                <w:sz w:val="21"/>
                <w:szCs w:val="21"/>
              </w:rPr>
            </w:pPr>
            <w:r>
              <w:rPr>
                <w:rFonts w:hint="default" w:ascii="宋体" w:hAnsi="宋体" w:cs="宋体"/>
                <w:b/>
                <w:color w:val="auto"/>
                <w:kern w:val="0"/>
                <w:sz w:val="21"/>
                <w:szCs w:val="21"/>
                <w:lang w:bidi="ar"/>
              </w:rPr>
              <w:t>序号</w:t>
            </w:r>
          </w:p>
        </w:tc>
        <w:tc>
          <w:tcPr>
            <w:tcW w:w="3309" w:type="dxa"/>
            <w:gridSpan w:val="2"/>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b/>
                <w:color w:val="auto"/>
                <w:sz w:val="21"/>
                <w:szCs w:val="21"/>
              </w:rPr>
            </w:pPr>
            <w:r>
              <w:rPr>
                <w:rFonts w:hint="default" w:ascii="宋体" w:hAnsi="宋体" w:cs="宋体"/>
                <w:b/>
                <w:color w:val="auto"/>
                <w:kern w:val="0"/>
                <w:sz w:val="21"/>
                <w:szCs w:val="21"/>
                <w:lang w:bidi="ar"/>
              </w:rPr>
              <w:t>检测项目</w:t>
            </w:r>
          </w:p>
        </w:tc>
        <w:tc>
          <w:tcPr>
            <w:tcW w:w="1167"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b/>
                <w:color w:val="auto"/>
                <w:kern w:val="0"/>
                <w:sz w:val="21"/>
                <w:szCs w:val="21"/>
                <w:lang w:bidi="ar"/>
              </w:rPr>
            </w:pPr>
            <w:r>
              <w:rPr>
                <w:rFonts w:hint="default" w:ascii="宋体" w:hAnsi="宋体" w:cs="宋体"/>
                <w:b/>
                <w:color w:val="auto"/>
                <w:kern w:val="0"/>
                <w:sz w:val="21"/>
                <w:szCs w:val="21"/>
                <w:lang w:bidi="ar"/>
              </w:rPr>
              <w:t>采样</w:t>
            </w:r>
          </w:p>
          <w:p>
            <w:pPr>
              <w:widowControl/>
              <w:spacing w:beforeLines="0" w:afterLines="0"/>
              <w:jc w:val="center"/>
              <w:textAlignment w:val="center"/>
              <w:rPr>
                <w:rFonts w:hint="default" w:ascii="宋体" w:hAnsi="宋体" w:cs="宋体"/>
                <w:b/>
                <w:color w:val="auto"/>
                <w:sz w:val="21"/>
                <w:szCs w:val="21"/>
              </w:rPr>
            </w:pPr>
            <w:r>
              <w:rPr>
                <w:rFonts w:hint="default" w:ascii="宋体" w:hAnsi="宋体" w:cs="宋体"/>
                <w:b/>
                <w:color w:val="auto"/>
                <w:kern w:val="0"/>
                <w:sz w:val="21"/>
                <w:szCs w:val="21"/>
                <w:lang w:bidi="ar"/>
              </w:rPr>
              <w:t>点数</w:t>
            </w:r>
          </w:p>
        </w:tc>
        <w:tc>
          <w:tcPr>
            <w:tcW w:w="1858"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b/>
                <w:color w:val="auto"/>
                <w:kern w:val="0"/>
                <w:sz w:val="21"/>
                <w:szCs w:val="21"/>
                <w:lang w:bidi="ar"/>
              </w:rPr>
            </w:pPr>
            <w:r>
              <w:rPr>
                <w:rFonts w:hint="default" w:ascii="宋体" w:hAnsi="宋体" w:cs="宋体"/>
                <w:b/>
                <w:color w:val="auto"/>
                <w:kern w:val="0"/>
                <w:sz w:val="21"/>
                <w:szCs w:val="21"/>
                <w:lang w:bidi="ar"/>
              </w:rPr>
              <w:t>采样</w:t>
            </w:r>
          </w:p>
          <w:p>
            <w:pPr>
              <w:widowControl/>
              <w:spacing w:beforeLines="0" w:afterLines="0"/>
              <w:jc w:val="center"/>
              <w:textAlignment w:val="center"/>
              <w:rPr>
                <w:rFonts w:hint="default" w:ascii="宋体" w:hAnsi="宋体" w:cs="宋体"/>
                <w:b/>
                <w:color w:val="auto"/>
                <w:sz w:val="21"/>
                <w:szCs w:val="21"/>
              </w:rPr>
            </w:pPr>
            <w:r>
              <w:rPr>
                <w:rFonts w:hint="default" w:ascii="宋体" w:hAnsi="宋体" w:cs="宋体"/>
                <w:b/>
                <w:color w:val="auto"/>
                <w:kern w:val="0"/>
                <w:sz w:val="21"/>
                <w:szCs w:val="21"/>
                <w:lang w:bidi="ar"/>
              </w:rPr>
              <w:t>频次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b/>
                <w:color w:val="auto"/>
                <w:sz w:val="21"/>
                <w:szCs w:val="21"/>
              </w:rPr>
            </w:pPr>
            <w:r>
              <w:rPr>
                <w:rFonts w:hint="default" w:ascii="宋体" w:hAnsi="宋体" w:cs="宋体"/>
                <w:b/>
                <w:color w:val="auto"/>
                <w:kern w:val="0"/>
                <w:sz w:val="21"/>
                <w:szCs w:val="21"/>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16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无组织废气（污水站周界）</w:t>
            </w: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甲烷</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氨</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硫化氢</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臭气浓度</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5</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氯（氯气）</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6</w:t>
            </w:r>
          </w:p>
        </w:tc>
        <w:tc>
          <w:tcPr>
            <w:tcW w:w="116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污水站有组织废气</w:t>
            </w: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臭气浓度</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7</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氨</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8</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硫化氢</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19</w:t>
            </w:r>
          </w:p>
        </w:tc>
        <w:tc>
          <w:tcPr>
            <w:tcW w:w="116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总排口废水</w:t>
            </w: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PH值</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12小时/次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需安装在线联网设备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20</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悬浮物</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每周/次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需安装在线联网设备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21</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五日生化需氧量</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22</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化学需氧量</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23</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阴离子表面活性剂</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25</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结核杆菌</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26</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氨氮</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27</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石油类</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28</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动植物油类</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29</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挥发酚</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30</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总氰化物</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31</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粪大肠菌群</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1</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月/次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32</w:t>
            </w:r>
          </w:p>
        </w:tc>
        <w:tc>
          <w:tcPr>
            <w:tcW w:w="1169"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噪声</w:t>
            </w:r>
          </w:p>
        </w:tc>
        <w:tc>
          <w:tcPr>
            <w:tcW w:w="214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昼</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33</w:t>
            </w:r>
          </w:p>
        </w:tc>
        <w:tc>
          <w:tcPr>
            <w:tcW w:w="1169"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c>
          <w:tcPr>
            <w:tcW w:w="2140"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夜</w:t>
            </w:r>
          </w:p>
        </w:tc>
        <w:tc>
          <w:tcPr>
            <w:tcW w:w="116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4</w:t>
            </w:r>
          </w:p>
        </w:tc>
        <w:tc>
          <w:tcPr>
            <w:tcW w:w="1858"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kern w:val="0"/>
                <w:sz w:val="21"/>
                <w:szCs w:val="21"/>
                <w:lang w:bidi="ar"/>
              </w:rPr>
              <w:t>季度/次</w:t>
            </w:r>
          </w:p>
        </w:tc>
        <w:tc>
          <w:tcPr>
            <w:tcW w:w="1456"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spacing w:beforeLines="0" w:afterLines="0"/>
              <w:jc w:val="center"/>
              <w:rPr>
                <w:rFonts w:hint="default" w:ascii="宋体" w:hAnsi="宋体" w:cs="宋体"/>
                <w:color w:val="auto"/>
                <w:sz w:val="21"/>
                <w:szCs w:val="21"/>
              </w:rPr>
            </w:pPr>
          </w:p>
        </w:tc>
      </w:tr>
    </w:tbl>
    <w:p>
      <w:pPr>
        <w:pStyle w:val="47"/>
        <w:widowControl/>
        <w:spacing w:before="0" w:beforeLines="0" w:beforeAutospacing="0" w:after="0" w:afterLines="0" w:afterAutospacing="0" w:line="360" w:lineRule="auto"/>
        <w:ind w:firstLine="560"/>
        <w:textAlignment w:val="baseline"/>
        <w:rPr>
          <w:rFonts w:hint="default" w:ascii="宋体" w:hAnsi="宋体" w:cs="宋体"/>
          <w:color w:val="auto"/>
          <w:sz w:val="21"/>
          <w:szCs w:val="21"/>
        </w:rPr>
      </w:pPr>
      <w:r>
        <w:rPr>
          <w:rFonts w:hint="default" w:ascii="宋体" w:hAnsi="宋体" w:cs="宋体"/>
          <w:color w:val="auto"/>
          <w:sz w:val="21"/>
          <w:szCs w:val="21"/>
        </w:rPr>
        <w:t>2、以上指标PH值和悬浮物需安装在线监测设备与数采仪连接并上传指标。</w:t>
      </w:r>
    </w:p>
    <w:p>
      <w:pPr>
        <w:pStyle w:val="21"/>
        <w:spacing w:line="360" w:lineRule="auto"/>
        <w:ind w:firstLine="480" w:firstLineChars="200"/>
        <w:rPr>
          <w:color w:val="auto"/>
        </w:rPr>
      </w:pPr>
    </w:p>
    <w:p>
      <w:pPr>
        <w:pStyle w:val="21"/>
        <w:spacing w:line="360" w:lineRule="auto"/>
        <w:ind w:firstLine="480" w:firstLineChars="200"/>
        <w:rPr>
          <w:color w:val="auto"/>
        </w:rPr>
      </w:pPr>
    </w:p>
    <w:p>
      <w:pPr>
        <w:pStyle w:val="21"/>
        <w:spacing w:line="360" w:lineRule="auto"/>
        <w:ind w:firstLine="480" w:firstLineChars="200"/>
        <w:rPr>
          <w:color w:val="auto"/>
        </w:rPr>
      </w:pPr>
    </w:p>
    <w:p>
      <w:pPr>
        <w:pStyle w:val="21"/>
        <w:spacing w:line="360" w:lineRule="auto"/>
        <w:ind w:firstLine="480" w:firstLineChars="200"/>
        <w:rPr>
          <w:color w:val="auto"/>
        </w:rPr>
      </w:pPr>
    </w:p>
    <w:p>
      <w:pPr>
        <w:pStyle w:val="21"/>
        <w:spacing w:line="360" w:lineRule="auto"/>
        <w:ind w:firstLine="480" w:firstLineChars="200"/>
        <w:rPr>
          <w:color w:val="auto"/>
        </w:rPr>
      </w:pPr>
    </w:p>
    <w:bookmarkEnd w:id="551"/>
    <w:bookmarkEnd w:id="552"/>
    <w:bookmarkEnd w:id="553"/>
    <w:bookmarkEnd w:id="554"/>
    <w:bookmarkEnd w:id="555"/>
    <w:bookmarkEnd w:id="556"/>
    <w:bookmarkEnd w:id="557"/>
    <w:p>
      <w:pPr>
        <w:spacing w:before="156" w:beforeLines="50" w:after="156" w:afterLines="50"/>
        <w:jc w:val="center"/>
        <w:outlineLvl w:val="0"/>
        <w:rPr>
          <w:rFonts w:ascii="宋体"/>
          <w:b/>
          <w:color w:val="auto"/>
          <w:sz w:val="32"/>
          <w:szCs w:val="32"/>
        </w:rPr>
      </w:pPr>
      <w:bookmarkStart w:id="558" w:name="_Toc58430332"/>
      <w:bookmarkStart w:id="559" w:name="_Toc449028948"/>
      <w:bookmarkStart w:id="560" w:name="_Toc152045813"/>
      <w:bookmarkStart w:id="561" w:name="_Toc246996374"/>
      <w:bookmarkStart w:id="562" w:name="_Toc152042602"/>
      <w:bookmarkStart w:id="563" w:name="_Toc179632833"/>
      <w:bookmarkStart w:id="564" w:name="_Toc246997117"/>
      <w:bookmarkStart w:id="565" w:name="_Toc296602622"/>
      <w:bookmarkStart w:id="566" w:name="_Toc144974881"/>
      <w:bookmarkStart w:id="567" w:name="_Toc247085892"/>
      <w:r>
        <w:rPr>
          <w:rFonts w:hint="eastAsia" w:ascii="宋体"/>
          <w:b/>
          <w:color w:val="auto"/>
          <w:sz w:val="32"/>
          <w:szCs w:val="32"/>
        </w:rPr>
        <w:t>第</w:t>
      </w:r>
      <w:r>
        <w:rPr>
          <w:rFonts w:hint="eastAsia" w:ascii="宋体"/>
          <w:b/>
          <w:color w:val="auto"/>
          <w:sz w:val="32"/>
          <w:szCs w:val="32"/>
          <w:lang w:val="en-US" w:eastAsia="zh-CN"/>
        </w:rPr>
        <w:t>五</w:t>
      </w:r>
      <w:r>
        <w:rPr>
          <w:rFonts w:hint="eastAsia" w:ascii="宋体"/>
          <w:b/>
          <w:color w:val="auto"/>
          <w:sz w:val="32"/>
          <w:szCs w:val="32"/>
        </w:rPr>
        <w:t>章 合同条款及格式参考范本（服务类）</w:t>
      </w:r>
    </w:p>
    <w:p>
      <w:pPr>
        <w:widowControl/>
        <w:spacing w:line="400" w:lineRule="exact"/>
        <w:ind w:left="360"/>
        <w:jc w:val="center"/>
        <w:textAlignment w:val="baseline"/>
        <w:outlineLvl w:val="1"/>
        <w:rPr>
          <w:rFonts w:ascii="宋体"/>
          <w:b/>
          <w:color w:val="auto"/>
          <w:sz w:val="30"/>
          <w:szCs w:val="30"/>
        </w:rPr>
      </w:pPr>
      <w:bookmarkStart w:id="568" w:name="_Toc58430330"/>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宋体"/>
          <w:b/>
          <w:color w:val="auto"/>
          <w:sz w:val="30"/>
          <w:szCs w:val="30"/>
        </w:rPr>
      </w:pPr>
    </w:p>
    <w:p>
      <w:pPr>
        <w:widowControl/>
        <w:spacing w:line="400" w:lineRule="exact"/>
        <w:ind w:left="360"/>
        <w:jc w:val="center"/>
        <w:textAlignment w:val="baseline"/>
        <w:outlineLvl w:val="1"/>
        <w:rPr>
          <w:rFonts w:ascii="黑体" w:eastAsia="黑体"/>
          <w:b/>
          <w:color w:val="auto"/>
          <w:sz w:val="30"/>
          <w:szCs w:val="30"/>
        </w:rPr>
      </w:pPr>
      <w:r>
        <w:rPr>
          <w:rFonts w:hint="eastAsia" w:ascii="宋体"/>
          <w:b/>
          <w:color w:val="auto"/>
          <w:sz w:val="30"/>
          <w:szCs w:val="30"/>
        </w:rPr>
        <w:t>一</w:t>
      </w:r>
      <w:bookmarkStart w:id="569" w:name="_Toc449028946"/>
      <w:r>
        <w:rPr>
          <w:rFonts w:hint="eastAsia" w:ascii="宋体"/>
          <w:b/>
          <w:color w:val="auto"/>
          <w:sz w:val="30"/>
          <w:szCs w:val="30"/>
        </w:rPr>
        <w:t>、合同协议书（格式）</w:t>
      </w:r>
      <w:bookmarkEnd w:id="568"/>
      <w:bookmarkEnd w:id="569"/>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 w:val="24"/>
        </w:rPr>
      </w:pPr>
    </w:p>
    <w:p>
      <w:pPr>
        <w:spacing w:before="120" w:line="480" w:lineRule="auto"/>
        <w:ind w:left="960"/>
        <w:rPr>
          <w:rFonts w:ascii="宋体" w:hAnsi="宋体"/>
          <w:color w:val="auto"/>
          <w:szCs w:val="21"/>
        </w:rPr>
      </w:pPr>
      <w:r>
        <w:rPr>
          <w:rFonts w:hint="eastAsia" w:ascii="宋体" w:hAnsi="宋体"/>
          <w:color w:val="auto"/>
          <w:szCs w:val="21"/>
        </w:rPr>
        <w:t xml:space="preserve">项目名称：    </w:t>
      </w:r>
    </w:p>
    <w:p>
      <w:pPr>
        <w:spacing w:before="120" w:line="480" w:lineRule="auto"/>
        <w:ind w:left="960"/>
        <w:rPr>
          <w:rFonts w:ascii="宋体" w:hAnsi="宋体"/>
          <w:color w:val="auto"/>
          <w:szCs w:val="21"/>
        </w:rPr>
      </w:pPr>
      <w:r>
        <w:rPr>
          <w:rFonts w:hint="eastAsia" w:ascii="宋体" w:hAnsi="宋体"/>
          <w:color w:val="auto"/>
          <w:szCs w:val="21"/>
        </w:rPr>
        <w:t>项目编号：</w:t>
      </w:r>
    </w:p>
    <w:p>
      <w:pPr>
        <w:spacing w:before="120" w:line="480" w:lineRule="auto"/>
        <w:ind w:left="960"/>
        <w:rPr>
          <w:rFonts w:ascii="宋体" w:hAnsi="宋体"/>
          <w:color w:val="auto"/>
          <w:szCs w:val="21"/>
          <w:u w:val="single"/>
        </w:rPr>
      </w:pPr>
      <w:r>
        <w:rPr>
          <w:rFonts w:hint="eastAsia" w:ascii="宋体" w:hAnsi="宋体"/>
          <w:color w:val="auto"/>
          <w:szCs w:val="21"/>
        </w:rPr>
        <w:t>甲方（采购人）：</w:t>
      </w:r>
      <w:r>
        <w:rPr>
          <w:rFonts w:hint="eastAsia" w:ascii="宋体" w:hAnsi="宋体"/>
          <w:color w:val="auto"/>
          <w:szCs w:val="21"/>
          <w:u w:val="single"/>
        </w:rPr>
        <w:t xml:space="preserve">                              </w:t>
      </w:r>
    </w:p>
    <w:p>
      <w:pPr>
        <w:spacing w:before="120" w:line="480" w:lineRule="auto"/>
        <w:ind w:left="960"/>
        <w:rPr>
          <w:rFonts w:ascii="宋体" w:hAnsi="宋体"/>
          <w:color w:val="auto"/>
          <w:szCs w:val="21"/>
          <w:u w:val="single"/>
        </w:rPr>
      </w:pPr>
      <w:r>
        <w:rPr>
          <w:rFonts w:hint="eastAsia" w:ascii="宋体" w:hAnsi="宋体"/>
          <w:color w:val="auto"/>
          <w:szCs w:val="21"/>
        </w:rPr>
        <w:t>乙方（中标人）：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u w:val="single"/>
        </w:rPr>
      </w:pPr>
      <w:r>
        <w:rPr>
          <w:rFonts w:hint="eastAsia" w:ascii="宋体" w:hAnsi="宋体"/>
          <w:color w:val="auto"/>
          <w:szCs w:val="21"/>
        </w:rPr>
        <w:t>签订地：</w:t>
      </w:r>
      <w:r>
        <w:rPr>
          <w:rFonts w:hint="eastAsia" w:ascii="宋体" w:hAnsi="宋体"/>
          <w:color w:val="auto"/>
          <w:szCs w:val="21"/>
          <w:u w:val="single"/>
        </w:rPr>
        <w:t xml:space="preserve">                                     </w:t>
      </w:r>
    </w:p>
    <w:p>
      <w:pPr>
        <w:spacing w:before="120" w:line="480" w:lineRule="auto"/>
        <w:ind w:firstLine="840" w:firstLineChars="400"/>
        <w:rPr>
          <w:rFonts w:ascii="宋体" w:hAnsi="宋体"/>
          <w:color w:val="auto"/>
          <w:szCs w:val="21"/>
        </w:rPr>
      </w:pPr>
      <w:r>
        <w:rPr>
          <w:rFonts w:hint="eastAsia" w:ascii="宋体" w:hAnsi="宋体"/>
          <w:color w:val="auto"/>
          <w:szCs w:val="21"/>
        </w:rPr>
        <w:t>签订日期：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widowControl/>
        <w:jc w:val="left"/>
        <w:rPr>
          <w:rFonts w:ascii="宋体" w:hAnsi="宋体"/>
          <w:color w:val="auto"/>
          <w:szCs w:val="21"/>
        </w:rPr>
      </w:pPr>
      <w:r>
        <w:rPr>
          <w:rFonts w:ascii="宋体" w:hAnsi="宋体"/>
          <w:color w:val="auto"/>
          <w:szCs w:val="21"/>
        </w:rPr>
        <w:br w:type="page"/>
      </w:r>
    </w:p>
    <w:p>
      <w:pPr>
        <w:spacing w:line="360" w:lineRule="auto"/>
        <w:ind w:firstLine="435"/>
        <w:rPr>
          <w:rFonts w:ascii="宋体" w:hAnsi="宋体"/>
          <w:color w:val="auto"/>
          <w:szCs w:val="21"/>
        </w:rPr>
      </w:pPr>
      <w:r>
        <w:rPr>
          <w:rFonts w:hint="eastAsia" w:ascii="宋体" w:hAnsi="宋体"/>
          <w:i/>
          <w:iCs/>
          <w:color w:val="auto"/>
          <w:szCs w:val="21"/>
          <w:u w:val="single"/>
        </w:rPr>
        <w:t>（采购人名称）</w:t>
      </w:r>
      <w:r>
        <w:rPr>
          <w:rFonts w:hint="eastAsia" w:ascii="宋体" w:hAnsi="宋体"/>
          <w:color w:val="auto"/>
          <w:szCs w:val="21"/>
        </w:rPr>
        <w:t>（</w:t>
      </w:r>
      <w:r>
        <w:rPr>
          <w:rFonts w:hint="eastAsia" w:ascii="宋体" w:hAnsi="宋体"/>
          <w:color w:val="auto"/>
          <w:szCs w:val="21"/>
          <w:lang w:val="zh-CN"/>
        </w:rPr>
        <w:t>以下简称：甲方</w:t>
      </w:r>
      <w:r>
        <w:rPr>
          <w:rFonts w:hint="eastAsia" w:ascii="宋体" w:hAnsi="宋体"/>
          <w:color w:val="auto"/>
          <w:szCs w:val="21"/>
        </w:rPr>
        <w:t>）通过公开招标，经评标委员会评定，确定</w:t>
      </w:r>
      <w:r>
        <w:rPr>
          <w:rFonts w:hint="eastAsia" w:ascii="宋体" w:hAnsi="宋体"/>
          <w:i/>
          <w:iCs/>
          <w:color w:val="auto"/>
          <w:szCs w:val="21"/>
          <w:u w:val="single"/>
        </w:rPr>
        <w:t>（中标人名称）</w:t>
      </w:r>
      <w:r>
        <w:rPr>
          <w:rFonts w:hint="eastAsia" w:ascii="宋体" w:hAnsi="宋体"/>
          <w:color w:val="auto"/>
          <w:szCs w:val="21"/>
        </w:rPr>
        <w:t>（</w:t>
      </w:r>
      <w:r>
        <w:rPr>
          <w:rFonts w:hint="eastAsia" w:ascii="宋体" w:hAnsi="宋体"/>
          <w:color w:val="auto"/>
          <w:szCs w:val="21"/>
          <w:lang w:val="zh-CN"/>
        </w:rPr>
        <w:t>以下简称：乙方</w:t>
      </w:r>
      <w:r>
        <w:rPr>
          <w:rFonts w:hint="eastAsia" w:ascii="宋体" w:hAnsi="宋体"/>
          <w:color w:val="auto"/>
          <w:szCs w:val="21"/>
        </w:rPr>
        <w:t>）为本项目中标人，现按照采购文件确定的事项签订本合同。</w:t>
      </w:r>
    </w:p>
    <w:p>
      <w:pPr>
        <w:spacing w:line="360" w:lineRule="auto"/>
        <w:ind w:firstLine="435"/>
        <w:rPr>
          <w:rFonts w:ascii="宋体" w:hAnsi="宋体"/>
          <w:color w:val="auto"/>
          <w:szCs w:val="21"/>
          <w:lang w:val="zh-CN"/>
        </w:rPr>
      </w:pPr>
      <w:r>
        <w:rPr>
          <w:rFonts w:hint="eastAsia" w:ascii="宋体" w:hAnsi="宋体"/>
          <w:color w:val="auto"/>
          <w:szCs w:val="21"/>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b/>
          <w:bCs/>
          <w:color w:val="auto"/>
          <w:szCs w:val="21"/>
          <w:lang w:val="zh-CN"/>
        </w:rPr>
      </w:pPr>
      <w:bookmarkStart w:id="570" w:name="_Toc3029"/>
      <w:bookmarkStart w:id="571" w:name="_Toc2232"/>
      <w:bookmarkStart w:id="572" w:name="_Toc24059"/>
      <w:r>
        <w:rPr>
          <w:rFonts w:hint="eastAsia" w:ascii="宋体" w:hAnsi="宋体"/>
          <w:b/>
          <w:bCs/>
          <w:color w:val="auto"/>
          <w:szCs w:val="21"/>
          <w:lang w:val="zh-CN"/>
        </w:rPr>
        <w:t>1.1</w:t>
      </w:r>
      <w:r>
        <w:rPr>
          <w:rFonts w:ascii="宋体" w:hAnsi="宋体"/>
          <w:b/>
          <w:bCs/>
          <w:color w:val="auto"/>
          <w:szCs w:val="21"/>
          <w:lang w:val="zh-CN"/>
        </w:rPr>
        <w:t xml:space="preserve"> </w:t>
      </w:r>
      <w:r>
        <w:rPr>
          <w:rFonts w:hint="eastAsia" w:ascii="宋体" w:hAnsi="宋体"/>
          <w:b/>
          <w:bCs/>
          <w:color w:val="auto"/>
          <w:szCs w:val="21"/>
          <w:lang w:val="zh-CN"/>
        </w:rPr>
        <w:t>合同组成部分</w:t>
      </w:r>
      <w:bookmarkEnd w:id="570"/>
      <w:bookmarkEnd w:id="571"/>
      <w:bookmarkEnd w:id="572"/>
    </w:p>
    <w:p>
      <w:pPr>
        <w:spacing w:line="360" w:lineRule="auto"/>
        <w:ind w:firstLine="435"/>
        <w:rPr>
          <w:rFonts w:ascii="宋体" w:hAnsi="宋体"/>
          <w:color w:val="auto"/>
          <w:szCs w:val="21"/>
          <w:lang w:val="zh-CN"/>
        </w:rPr>
      </w:pPr>
      <w:r>
        <w:rPr>
          <w:rFonts w:hint="eastAsia" w:ascii="宋体" w:hAnsi="宋体"/>
          <w:color w:val="auto"/>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color w:val="auto"/>
          <w:szCs w:val="21"/>
          <w:lang w:val="zh-CN"/>
        </w:rPr>
      </w:pPr>
      <w:r>
        <w:rPr>
          <w:rFonts w:hint="eastAsia" w:ascii="宋体" w:hAnsi="宋体"/>
          <w:color w:val="auto"/>
          <w:szCs w:val="21"/>
          <w:lang w:val="zh-CN"/>
        </w:rPr>
        <w:t>1.1.1本合同及其补充合同、变更协议；</w:t>
      </w:r>
    </w:p>
    <w:p>
      <w:pPr>
        <w:spacing w:line="360" w:lineRule="auto"/>
        <w:ind w:firstLine="435"/>
        <w:rPr>
          <w:rFonts w:ascii="宋体" w:hAnsi="宋体"/>
          <w:color w:val="auto"/>
          <w:szCs w:val="21"/>
          <w:lang w:val="zh-CN"/>
        </w:rPr>
      </w:pPr>
      <w:r>
        <w:rPr>
          <w:rFonts w:hint="eastAsia" w:ascii="宋体" w:hAnsi="宋体"/>
          <w:color w:val="auto"/>
          <w:szCs w:val="21"/>
          <w:lang w:val="zh-CN"/>
        </w:rPr>
        <w:t>1.1.2中标通知书；</w:t>
      </w:r>
    </w:p>
    <w:p>
      <w:pPr>
        <w:spacing w:line="360" w:lineRule="auto"/>
        <w:ind w:firstLine="435"/>
        <w:rPr>
          <w:rFonts w:ascii="宋体" w:hAnsi="宋体"/>
          <w:color w:val="auto"/>
          <w:szCs w:val="21"/>
          <w:lang w:val="zh-CN"/>
        </w:rPr>
      </w:pPr>
      <w:r>
        <w:rPr>
          <w:rFonts w:hint="eastAsia" w:ascii="宋体" w:hAnsi="宋体"/>
          <w:color w:val="auto"/>
          <w:szCs w:val="21"/>
          <w:lang w:val="zh-CN"/>
        </w:rPr>
        <w:t>1.1.3投标文件（含澄清或者说明文件）；</w:t>
      </w:r>
    </w:p>
    <w:p>
      <w:pPr>
        <w:spacing w:line="360" w:lineRule="auto"/>
        <w:ind w:firstLine="435"/>
        <w:rPr>
          <w:rFonts w:ascii="宋体" w:hAnsi="宋体"/>
          <w:color w:val="auto"/>
          <w:szCs w:val="21"/>
          <w:lang w:val="zh-CN"/>
        </w:rPr>
      </w:pPr>
      <w:r>
        <w:rPr>
          <w:rFonts w:hint="eastAsia" w:ascii="宋体" w:hAnsi="宋体"/>
          <w:color w:val="auto"/>
          <w:szCs w:val="21"/>
          <w:lang w:val="zh-CN"/>
        </w:rPr>
        <w:t>1.1.4招标文件（含澄清或者修改文件）；</w:t>
      </w:r>
    </w:p>
    <w:p>
      <w:pPr>
        <w:spacing w:line="360" w:lineRule="auto"/>
        <w:ind w:firstLine="435"/>
        <w:rPr>
          <w:rFonts w:ascii="宋体" w:hAnsi="宋体"/>
          <w:color w:val="auto"/>
          <w:szCs w:val="21"/>
          <w:lang w:val="zh-CN"/>
        </w:rPr>
      </w:pPr>
      <w:r>
        <w:rPr>
          <w:rFonts w:hint="eastAsia" w:ascii="宋体" w:hAnsi="宋体"/>
          <w:color w:val="auto"/>
          <w:szCs w:val="21"/>
          <w:lang w:val="zh-CN"/>
        </w:rPr>
        <w:t>1.1.5其他相关采购文件。</w:t>
      </w:r>
    </w:p>
    <w:p>
      <w:pPr>
        <w:spacing w:line="360" w:lineRule="auto"/>
        <w:ind w:firstLine="437"/>
        <w:outlineLvl w:val="3"/>
        <w:rPr>
          <w:rFonts w:ascii="宋体" w:hAnsi="宋体"/>
          <w:b/>
          <w:bCs/>
          <w:color w:val="auto"/>
          <w:szCs w:val="21"/>
          <w:lang w:val="zh-CN"/>
        </w:rPr>
      </w:pPr>
      <w:bookmarkStart w:id="573" w:name="_Toc6311"/>
      <w:bookmarkStart w:id="574" w:name="_Toc6773"/>
      <w:bookmarkStart w:id="575" w:name="_Toc22185"/>
      <w:bookmarkStart w:id="576" w:name="_Toc18585"/>
      <w:bookmarkStart w:id="577" w:name="_Toc2918"/>
      <w:r>
        <w:rPr>
          <w:rFonts w:hint="eastAsia" w:ascii="宋体" w:hAnsi="宋体"/>
          <w:b/>
          <w:bCs/>
          <w:color w:val="auto"/>
          <w:szCs w:val="21"/>
          <w:lang w:val="zh-CN"/>
        </w:rPr>
        <w:t xml:space="preserve">1.2 </w:t>
      </w:r>
      <w:bookmarkEnd w:id="573"/>
      <w:bookmarkEnd w:id="574"/>
      <w:bookmarkEnd w:id="575"/>
      <w:bookmarkEnd w:id="576"/>
      <w:bookmarkEnd w:id="577"/>
      <w:r>
        <w:rPr>
          <w:rFonts w:hint="eastAsia" w:ascii="宋体" w:hAnsi="宋体"/>
          <w:b/>
          <w:bCs/>
          <w:color w:val="auto"/>
          <w:szCs w:val="21"/>
          <w:lang w:val="zh-CN"/>
        </w:rPr>
        <w:t>服务</w:t>
      </w:r>
    </w:p>
    <w:p>
      <w:pPr>
        <w:spacing w:line="360" w:lineRule="auto"/>
        <w:ind w:firstLine="435"/>
        <w:rPr>
          <w:rFonts w:ascii="宋体" w:hAnsi="宋体"/>
          <w:color w:val="auto"/>
          <w:szCs w:val="21"/>
          <w:u w:val="single"/>
        </w:rPr>
      </w:pPr>
      <w:r>
        <w:rPr>
          <w:rFonts w:hint="eastAsia" w:ascii="宋体" w:hAnsi="宋体"/>
          <w:color w:val="auto"/>
          <w:szCs w:val="21"/>
        </w:rPr>
        <w:t>1.2.1服务</w:t>
      </w:r>
      <w:r>
        <w:rPr>
          <w:rFonts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u w:val="single"/>
        </w:rPr>
      </w:pPr>
      <w:r>
        <w:rPr>
          <w:rFonts w:hint="eastAsia" w:ascii="宋体" w:hAnsi="宋体"/>
          <w:color w:val="auto"/>
          <w:szCs w:val="21"/>
        </w:rPr>
        <w:t>1.2.2服务内容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1.2.3服务质量：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78" w:name="_Toc23292"/>
      <w:bookmarkStart w:id="579" w:name="_Toc21551"/>
      <w:bookmarkStart w:id="580" w:name="_Toc21631"/>
      <w:r>
        <w:rPr>
          <w:rFonts w:hint="eastAsia" w:ascii="宋体" w:hAnsi="宋体"/>
          <w:b/>
          <w:bCs/>
          <w:color w:val="auto"/>
          <w:szCs w:val="21"/>
          <w:lang w:val="zh-CN"/>
        </w:rPr>
        <w:t>1.</w:t>
      </w:r>
      <w:r>
        <w:rPr>
          <w:rFonts w:ascii="宋体" w:hAnsi="宋体"/>
          <w:b/>
          <w:bCs/>
          <w:color w:val="auto"/>
          <w:szCs w:val="21"/>
          <w:lang w:val="zh-CN"/>
        </w:rPr>
        <w:t xml:space="preserve">3 </w:t>
      </w:r>
      <w:r>
        <w:rPr>
          <w:rFonts w:hint="eastAsia" w:ascii="宋体" w:hAnsi="宋体"/>
          <w:b/>
          <w:bCs/>
          <w:color w:val="auto"/>
          <w:szCs w:val="21"/>
          <w:lang w:val="zh-CN"/>
        </w:rPr>
        <w:t>价款</w:t>
      </w:r>
      <w:bookmarkEnd w:id="578"/>
      <w:bookmarkEnd w:id="579"/>
      <w:bookmarkEnd w:id="580"/>
    </w:p>
    <w:p>
      <w:pPr>
        <w:spacing w:line="360" w:lineRule="auto"/>
        <w:ind w:firstLine="435"/>
        <w:rPr>
          <w:rFonts w:ascii="宋体" w:hAnsi="宋体"/>
          <w:color w:val="auto"/>
          <w:szCs w:val="21"/>
        </w:rPr>
      </w:pPr>
      <w:r>
        <w:rPr>
          <w:rFonts w:ascii="宋体" w:hAnsi="宋体"/>
          <w:color w:val="auto"/>
          <w:szCs w:val="21"/>
        </w:rPr>
        <w:t>本合同总价为</w:t>
      </w:r>
      <w:r>
        <w:rPr>
          <w:rFonts w:hint="eastAsia" w:ascii="宋体" w:hAnsi="宋体"/>
          <w:color w:val="auto"/>
          <w:szCs w:val="21"/>
        </w:rPr>
        <w:t>：¥</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r>
        <w:rPr>
          <w:rFonts w:ascii="宋体" w:hAnsi="宋体"/>
          <w:color w:val="auto"/>
          <w:szCs w:val="21"/>
        </w:rPr>
        <w:t>。</w:t>
      </w:r>
    </w:p>
    <w:p>
      <w:pPr>
        <w:spacing w:line="360" w:lineRule="auto"/>
        <w:ind w:firstLine="435"/>
        <w:rPr>
          <w:rFonts w:ascii="宋体" w:hAnsi="宋体"/>
          <w:color w:val="auto"/>
          <w:szCs w:val="21"/>
          <w:u w:val="single"/>
        </w:rPr>
      </w:pPr>
      <w:r>
        <w:rPr>
          <w:rFonts w:ascii="宋体" w:hAnsi="宋体"/>
          <w:color w:val="auto"/>
          <w:szCs w:val="21"/>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pPr>
              <w:jc w:val="center"/>
              <w:rPr>
                <w:rFonts w:ascii="宋体" w:hAnsi="宋体"/>
                <w:color w:val="auto"/>
                <w:szCs w:val="21"/>
                <w:lang w:val="zh-CN"/>
              </w:rPr>
            </w:pPr>
            <w:r>
              <w:rPr>
                <w:rFonts w:ascii="宋体" w:hAnsi="宋体"/>
                <w:color w:val="auto"/>
                <w:szCs w:val="21"/>
                <w:lang w:val="zh-CN"/>
              </w:rPr>
              <w:t>序号</w:t>
            </w:r>
          </w:p>
        </w:tc>
        <w:tc>
          <w:tcPr>
            <w:tcW w:w="4317" w:type="dxa"/>
            <w:vAlign w:val="center"/>
          </w:tcPr>
          <w:p>
            <w:pPr>
              <w:ind w:firstLine="200"/>
              <w:jc w:val="center"/>
              <w:rPr>
                <w:rFonts w:ascii="宋体" w:hAnsi="宋体"/>
                <w:color w:val="auto"/>
                <w:szCs w:val="21"/>
              </w:rPr>
            </w:pPr>
            <w:r>
              <w:rPr>
                <w:rFonts w:hint="eastAsia" w:ascii="宋体" w:hAnsi="宋体"/>
                <w:color w:val="auto"/>
                <w:szCs w:val="21"/>
              </w:rPr>
              <w:t>分项名称</w:t>
            </w:r>
          </w:p>
        </w:tc>
        <w:tc>
          <w:tcPr>
            <w:tcW w:w="3237" w:type="dxa"/>
            <w:gridSpan w:val="2"/>
            <w:vAlign w:val="center"/>
          </w:tcPr>
          <w:p>
            <w:pPr>
              <w:jc w:val="center"/>
              <w:rPr>
                <w:rFonts w:ascii="宋体" w:hAnsi="宋体"/>
                <w:color w:val="auto"/>
                <w:szCs w:val="21"/>
              </w:rPr>
            </w:pPr>
            <w:r>
              <w:rPr>
                <w:rFonts w:ascii="宋体" w:hAnsi="宋体"/>
                <w:color w:val="auto"/>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1</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2</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ascii="宋体" w:hAnsi="宋体"/>
                <w:color w:val="auto"/>
                <w:szCs w:val="21"/>
                <w:lang w:val="zh-CN"/>
              </w:rPr>
              <w:t>3</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jc w:val="center"/>
              <w:rPr>
                <w:rFonts w:ascii="宋体" w:hAnsi="宋体"/>
                <w:color w:val="auto"/>
                <w:szCs w:val="21"/>
                <w:lang w:val="zh-CN"/>
              </w:rPr>
            </w:pPr>
            <w:r>
              <w:rPr>
                <w:rFonts w:hint="eastAsia" w:ascii="宋体" w:hAnsi="宋体"/>
                <w:color w:val="auto"/>
                <w:szCs w:val="21"/>
                <w:lang w:val="zh-CN"/>
              </w:rPr>
              <w:t>……</w:t>
            </w:r>
          </w:p>
        </w:tc>
        <w:tc>
          <w:tcPr>
            <w:tcW w:w="4317" w:type="dxa"/>
            <w:vAlign w:val="center"/>
          </w:tcPr>
          <w:p>
            <w:pPr>
              <w:ind w:firstLine="200"/>
              <w:jc w:val="center"/>
              <w:rPr>
                <w:rFonts w:ascii="宋体" w:hAnsi="宋体"/>
                <w:color w:val="auto"/>
                <w:szCs w:val="21"/>
              </w:rPr>
            </w:pPr>
          </w:p>
        </w:tc>
        <w:tc>
          <w:tcPr>
            <w:tcW w:w="3237" w:type="dxa"/>
            <w:gridSpan w:val="2"/>
            <w:vAlign w:val="center"/>
          </w:tcPr>
          <w:p>
            <w:pPr>
              <w:ind w:firstLine="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200"/>
              <w:jc w:val="center"/>
              <w:rPr>
                <w:rFonts w:ascii="宋体" w:hAnsi="宋体"/>
                <w:color w:val="auto"/>
                <w:szCs w:val="21"/>
              </w:rPr>
            </w:pPr>
            <w:r>
              <w:rPr>
                <w:rFonts w:hint="eastAsia" w:ascii="宋体" w:hAnsi="宋体"/>
                <w:color w:val="auto"/>
                <w:szCs w:val="21"/>
              </w:rPr>
              <w:t>总价</w:t>
            </w:r>
          </w:p>
        </w:tc>
        <w:tc>
          <w:tcPr>
            <w:tcW w:w="3237" w:type="dxa"/>
            <w:gridSpan w:val="2"/>
            <w:vAlign w:val="center"/>
          </w:tcPr>
          <w:p>
            <w:pPr>
              <w:ind w:firstLine="200"/>
              <w:jc w:val="center"/>
              <w:rPr>
                <w:rFonts w:ascii="宋体" w:hAnsi="宋体"/>
                <w:color w:val="auto"/>
                <w:szCs w:val="21"/>
              </w:rPr>
            </w:pPr>
          </w:p>
        </w:tc>
      </w:tr>
    </w:tbl>
    <w:p>
      <w:pPr>
        <w:spacing w:line="360" w:lineRule="auto"/>
        <w:ind w:firstLine="437"/>
        <w:outlineLvl w:val="3"/>
        <w:rPr>
          <w:rFonts w:ascii="宋体" w:hAnsi="宋体"/>
          <w:b/>
          <w:bCs/>
          <w:color w:val="auto"/>
          <w:szCs w:val="21"/>
          <w:lang w:val="zh-CN"/>
        </w:rPr>
      </w:pPr>
      <w:bookmarkStart w:id="581" w:name="_Toc22618"/>
      <w:bookmarkStart w:id="582" w:name="_Toc10340"/>
      <w:bookmarkStart w:id="583" w:name="_Toc1814"/>
      <w:r>
        <w:rPr>
          <w:rFonts w:hint="eastAsia" w:ascii="宋体" w:hAnsi="宋体"/>
          <w:b/>
          <w:bCs/>
          <w:color w:val="auto"/>
          <w:szCs w:val="21"/>
          <w:lang w:val="zh-CN"/>
        </w:rPr>
        <w:t>1.</w:t>
      </w:r>
      <w:r>
        <w:rPr>
          <w:rFonts w:ascii="宋体" w:hAnsi="宋体"/>
          <w:b/>
          <w:bCs/>
          <w:color w:val="auto"/>
          <w:szCs w:val="21"/>
          <w:lang w:val="zh-CN"/>
        </w:rPr>
        <w:t>4 付款方式和发票开具方式</w:t>
      </w:r>
      <w:bookmarkEnd w:id="581"/>
      <w:bookmarkEnd w:id="582"/>
      <w:bookmarkEnd w:id="583"/>
    </w:p>
    <w:p>
      <w:pPr>
        <w:pStyle w:val="237"/>
        <w:spacing w:before="0" w:beforeAutospacing="0" w:after="0" w:afterAutospacing="0" w:line="580" w:lineRule="exact"/>
        <w:ind w:firstLine="420" w:firstLineChars="200"/>
        <w:jc w:val="both"/>
        <w:rPr>
          <w:rFonts w:cs="Times New Roman"/>
          <w:color w:val="auto"/>
          <w:sz w:val="21"/>
          <w:szCs w:val="21"/>
        </w:rPr>
      </w:pPr>
      <w:r>
        <w:rPr>
          <w:rFonts w:hint="eastAsia" w:cs="Times New Roman"/>
          <w:color w:val="auto"/>
          <w:sz w:val="21"/>
          <w:szCs w:val="21"/>
        </w:rPr>
        <w:t>1.4.1</w:t>
      </w:r>
      <w:r>
        <w:rPr>
          <w:rFonts w:cs="Times New Roman"/>
          <w:color w:val="auto"/>
          <w:sz w:val="21"/>
          <w:szCs w:val="21"/>
        </w:rPr>
        <w:t>付款方式：</w:t>
      </w:r>
      <w:r>
        <w:rPr>
          <w:rFonts w:hint="eastAsia" w:cs="Times New Roman"/>
          <w:color w:val="auto"/>
          <w:sz w:val="21"/>
          <w:szCs w:val="21"/>
          <w:u w:val="single"/>
        </w:rPr>
        <w:t xml:space="preserve">                                            </w:t>
      </w:r>
    </w:p>
    <w:p>
      <w:pPr>
        <w:spacing w:line="360" w:lineRule="auto"/>
        <w:ind w:firstLine="435"/>
        <w:rPr>
          <w:rFonts w:ascii="宋体" w:hAnsi="宋体"/>
          <w:color w:val="auto"/>
          <w:szCs w:val="21"/>
        </w:rPr>
      </w:pPr>
      <w:r>
        <w:rPr>
          <w:rFonts w:hint="eastAsia" w:ascii="宋体" w:hAnsi="宋体"/>
          <w:color w:val="auto"/>
          <w:szCs w:val="21"/>
        </w:rPr>
        <w:t>1.4.2发票开具方式：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84" w:name="_Toc19304"/>
      <w:bookmarkStart w:id="585" w:name="_Toc32071"/>
      <w:bookmarkStart w:id="586" w:name="_Toc2846"/>
      <w:r>
        <w:rPr>
          <w:rFonts w:hint="eastAsia" w:ascii="宋体" w:hAnsi="宋体"/>
          <w:b/>
          <w:bCs/>
          <w:color w:val="auto"/>
          <w:szCs w:val="21"/>
          <w:lang w:val="zh-CN"/>
        </w:rPr>
        <w:t>1.</w:t>
      </w:r>
      <w:r>
        <w:rPr>
          <w:rFonts w:ascii="宋体" w:hAnsi="宋体"/>
          <w:b/>
          <w:bCs/>
          <w:color w:val="auto"/>
          <w:szCs w:val="21"/>
          <w:lang w:val="zh-CN"/>
        </w:rPr>
        <w:t xml:space="preserve">5 </w:t>
      </w:r>
      <w:r>
        <w:rPr>
          <w:rFonts w:hint="eastAsia" w:ascii="宋体" w:hAnsi="宋体"/>
          <w:b/>
          <w:bCs/>
          <w:color w:val="auto"/>
          <w:szCs w:val="21"/>
          <w:lang w:val="zh-CN"/>
        </w:rPr>
        <w:t>服务</w:t>
      </w:r>
      <w:r>
        <w:rPr>
          <w:rFonts w:ascii="宋体" w:hAnsi="宋体"/>
          <w:b/>
          <w:bCs/>
          <w:color w:val="auto"/>
          <w:szCs w:val="21"/>
          <w:lang w:val="zh-CN"/>
        </w:rPr>
        <w:t>期限</w:t>
      </w:r>
      <w:r>
        <w:rPr>
          <w:rFonts w:hint="eastAsia" w:ascii="宋体" w:hAnsi="宋体"/>
          <w:b/>
          <w:bCs/>
          <w:color w:val="auto"/>
          <w:szCs w:val="21"/>
          <w:lang w:val="zh-CN"/>
        </w:rPr>
        <w:t>、地点和方式</w:t>
      </w:r>
      <w:bookmarkEnd w:id="584"/>
      <w:bookmarkEnd w:id="585"/>
      <w:bookmarkEnd w:id="586"/>
    </w:p>
    <w:p>
      <w:pPr>
        <w:spacing w:line="360" w:lineRule="auto"/>
        <w:ind w:firstLine="435"/>
        <w:rPr>
          <w:rFonts w:ascii="宋体" w:hAnsi="宋体"/>
          <w:color w:val="auto"/>
          <w:szCs w:val="21"/>
          <w:u w:val="single"/>
        </w:rPr>
      </w:pPr>
      <w:r>
        <w:rPr>
          <w:rFonts w:hint="eastAsia" w:ascii="宋体" w:hAnsi="宋体"/>
          <w:color w:val="auto"/>
          <w:szCs w:val="21"/>
        </w:rPr>
        <w:t>1.5.1服务期限</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1.5.2服务地点</w:t>
      </w:r>
      <w:r>
        <w:rPr>
          <w:rFonts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1.5.3服务方式：</w:t>
      </w:r>
      <w:r>
        <w:rPr>
          <w:rFonts w:hint="eastAsia" w:ascii="宋体" w:hAnsi="宋体"/>
          <w:color w:val="auto"/>
          <w:szCs w:val="21"/>
          <w:u w:val="single"/>
        </w:rPr>
        <w:t xml:space="preserve">                                                </w:t>
      </w:r>
      <w:r>
        <w:rPr>
          <w:rFonts w:hint="eastAsia" w:ascii="宋体" w:hAnsi="宋体"/>
          <w:color w:val="auto"/>
          <w:szCs w:val="21"/>
        </w:rPr>
        <w:t>。</w:t>
      </w:r>
    </w:p>
    <w:p>
      <w:pPr>
        <w:spacing w:line="360" w:lineRule="auto"/>
        <w:ind w:firstLine="437"/>
        <w:outlineLvl w:val="3"/>
        <w:rPr>
          <w:rFonts w:ascii="宋体" w:hAnsi="宋体"/>
          <w:b/>
          <w:bCs/>
          <w:color w:val="auto"/>
          <w:szCs w:val="21"/>
          <w:lang w:val="zh-CN"/>
        </w:rPr>
      </w:pPr>
      <w:bookmarkStart w:id="587" w:name="_Toc19554"/>
      <w:bookmarkStart w:id="588" w:name="_Toc27250"/>
      <w:bookmarkStart w:id="589" w:name="_Toc21423"/>
      <w:r>
        <w:rPr>
          <w:rFonts w:hint="eastAsia" w:ascii="宋体" w:hAnsi="宋体"/>
          <w:b/>
          <w:bCs/>
          <w:color w:val="auto"/>
          <w:szCs w:val="21"/>
          <w:lang w:val="zh-CN"/>
        </w:rPr>
        <w:t>1.6 违约责任</w:t>
      </w:r>
      <w:bookmarkEnd w:id="587"/>
      <w:bookmarkEnd w:id="588"/>
      <w:bookmarkEnd w:id="589"/>
    </w:p>
    <w:p>
      <w:pPr>
        <w:spacing w:line="360" w:lineRule="auto"/>
        <w:ind w:firstLine="435"/>
        <w:rPr>
          <w:rFonts w:ascii="宋体" w:hAnsi="宋体"/>
          <w:color w:val="auto"/>
          <w:szCs w:val="21"/>
        </w:rPr>
      </w:pPr>
      <w:r>
        <w:rPr>
          <w:rFonts w:hint="eastAsia" w:ascii="宋体" w:hAnsi="宋体"/>
          <w:color w:val="auto"/>
          <w:szCs w:val="21"/>
        </w:rPr>
        <w:t>1.6.1</w:t>
      </w:r>
      <w:r>
        <w:rPr>
          <w:rFonts w:ascii="宋体" w:hAnsi="宋体"/>
          <w:color w:val="auto"/>
          <w:szCs w:val="21"/>
        </w:rPr>
        <w:t>除不可抗力外，如果乙方没有按照本合同约定的期限</w:t>
      </w:r>
      <w:r>
        <w:rPr>
          <w:rFonts w:hint="eastAsia" w:ascii="宋体" w:hAnsi="宋体"/>
          <w:color w:val="auto"/>
          <w:szCs w:val="21"/>
        </w:rPr>
        <w:t>、</w:t>
      </w:r>
      <w:r>
        <w:rPr>
          <w:rFonts w:ascii="宋体" w:hAnsi="宋体"/>
          <w:color w:val="auto"/>
          <w:szCs w:val="21"/>
        </w:rPr>
        <w:t>地点和方式</w:t>
      </w:r>
      <w:r>
        <w:rPr>
          <w:rFonts w:hint="eastAsia" w:ascii="宋体" w:hAnsi="宋体"/>
          <w:color w:val="auto"/>
          <w:szCs w:val="21"/>
        </w:rPr>
        <w:t>履行</w:t>
      </w:r>
      <w:r>
        <w:rPr>
          <w:rFonts w:ascii="宋体" w:hAnsi="宋体"/>
          <w:color w:val="auto"/>
          <w:szCs w:val="21"/>
        </w:rPr>
        <w:t>，那么甲方可要求乙方支付违约金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履行</w:t>
      </w:r>
      <w:r>
        <w:rPr>
          <w:rFonts w:ascii="宋体" w:hAnsi="宋体"/>
          <w:color w:val="auto"/>
          <w:szCs w:val="21"/>
        </w:rPr>
        <w:t>一日的应提供而未</w:t>
      </w:r>
      <w:r>
        <w:rPr>
          <w:rFonts w:hint="eastAsia" w:ascii="宋体" w:hAnsi="宋体"/>
          <w:color w:val="auto"/>
          <w:szCs w:val="21"/>
        </w:rPr>
        <w:t>提供</w:t>
      </w:r>
      <w:r>
        <w:rPr>
          <w:rFonts w:ascii="宋体" w:hAnsi="宋体"/>
          <w:color w:val="auto"/>
          <w:szCs w:val="21"/>
        </w:rPr>
        <w:t>服务价格的</w:t>
      </w:r>
      <w:r>
        <w:rPr>
          <w:rFonts w:hint="eastAsia" w:ascii="宋体" w:hAnsi="宋体"/>
          <w:color w:val="auto"/>
          <w:szCs w:val="21"/>
          <w:u w:val="single"/>
        </w:rPr>
        <w:t>1</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履行</w:t>
      </w:r>
      <w:r>
        <w:rPr>
          <w:rFonts w:ascii="宋体" w:hAnsi="宋体"/>
          <w:color w:val="auto"/>
          <w:szCs w:val="21"/>
        </w:rPr>
        <w:t>的违约金计算数额达到前述最高限额之日起</w:t>
      </w:r>
      <w:r>
        <w:rPr>
          <w:rFonts w:hint="eastAsia" w:ascii="宋体" w:hAnsi="宋体"/>
          <w:color w:val="auto"/>
          <w:szCs w:val="21"/>
        </w:rPr>
        <w:t>，</w:t>
      </w:r>
      <w:r>
        <w:rPr>
          <w:rFonts w:ascii="宋体" w:hAnsi="宋体"/>
          <w:color w:val="auto"/>
          <w:szCs w:val="21"/>
        </w:rPr>
        <w:t>甲方有权在要求乙方支付违约金的同时</w:t>
      </w:r>
      <w:r>
        <w:rPr>
          <w:rFonts w:hint="eastAsia" w:ascii="宋体" w:hAnsi="宋体"/>
          <w:color w:val="auto"/>
          <w:szCs w:val="21"/>
        </w:rPr>
        <w:t>，书面通知乙方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1.6.2</w:t>
      </w:r>
      <w:r>
        <w:rPr>
          <w:rFonts w:ascii="宋体" w:hAnsi="宋体"/>
          <w:color w:val="auto"/>
          <w:szCs w:val="21"/>
        </w:rPr>
        <w:t>除不可抗力外，如果甲方没有按照本合同约定的付款方式付款，那么乙方可要求甲方支付违约金</w:t>
      </w:r>
      <w:r>
        <w:rPr>
          <w:rFonts w:hint="eastAsia" w:ascii="宋体" w:hAnsi="宋体"/>
          <w:color w:val="auto"/>
          <w:szCs w:val="21"/>
        </w:rPr>
        <w:t>，</w:t>
      </w:r>
      <w:r>
        <w:rPr>
          <w:rFonts w:ascii="宋体" w:hAnsi="宋体"/>
          <w:color w:val="auto"/>
          <w:szCs w:val="21"/>
        </w:rPr>
        <w:t>违约金按每迟延</w:t>
      </w:r>
      <w:r>
        <w:rPr>
          <w:rFonts w:hint="eastAsia" w:ascii="宋体" w:hAnsi="宋体"/>
          <w:color w:val="auto"/>
          <w:szCs w:val="21"/>
        </w:rPr>
        <w:t>付款</w:t>
      </w:r>
      <w:r>
        <w:rPr>
          <w:rFonts w:ascii="宋体" w:hAnsi="宋体"/>
          <w:color w:val="auto"/>
          <w:szCs w:val="21"/>
        </w:rPr>
        <w:t>一日的应付而未付款的</w:t>
      </w:r>
      <w:r>
        <w:rPr>
          <w:rFonts w:hint="eastAsia" w:ascii="宋体" w:hAnsi="宋体"/>
          <w:color w:val="auto"/>
          <w:szCs w:val="21"/>
          <w:u w:val="single"/>
        </w:rPr>
        <w:t xml:space="preserve">1 </w:t>
      </w:r>
      <w:r>
        <w:rPr>
          <w:rFonts w:ascii="宋体" w:hAnsi="宋体"/>
          <w:color w:val="auto"/>
          <w:szCs w:val="21"/>
        </w:rPr>
        <w:t>%计算</w:t>
      </w:r>
      <w:r>
        <w:rPr>
          <w:rFonts w:hint="eastAsia" w:ascii="宋体" w:hAnsi="宋体"/>
          <w:color w:val="auto"/>
          <w:szCs w:val="21"/>
        </w:rPr>
        <w:t>，</w:t>
      </w:r>
      <w:r>
        <w:rPr>
          <w:rFonts w:ascii="宋体" w:hAnsi="宋体"/>
          <w:color w:val="auto"/>
          <w:szCs w:val="21"/>
        </w:rPr>
        <w:t>最高限额为</w:t>
      </w:r>
      <w:r>
        <w:rPr>
          <w:rFonts w:hint="eastAsia" w:ascii="宋体" w:hAnsi="宋体"/>
          <w:color w:val="auto"/>
          <w:szCs w:val="21"/>
        </w:rPr>
        <w:t>本</w:t>
      </w:r>
      <w:r>
        <w:rPr>
          <w:rFonts w:ascii="宋体" w:hAnsi="宋体"/>
          <w:color w:val="auto"/>
          <w:szCs w:val="21"/>
        </w:rPr>
        <w:t>合同总价的</w:t>
      </w:r>
      <w:r>
        <w:rPr>
          <w:rFonts w:hint="eastAsia" w:ascii="宋体" w:hAnsi="宋体"/>
          <w:color w:val="auto"/>
          <w:szCs w:val="21"/>
          <w:u w:val="single"/>
        </w:rPr>
        <w:t xml:space="preserve">1 </w:t>
      </w:r>
      <w:r>
        <w:rPr>
          <w:rFonts w:ascii="宋体" w:hAnsi="宋体"/>
          <w:color w:val="auto"/>
          <w:szCs w:val="21"/>
        </w:rPr>
        <w:t>%</w:t>
      </w:r>
      <w:r>
        <w:rPr>
          <w:rFonts w:hint="eastAsia" w:ascii="宋体" w:hAnsi="宋体"/>
          <w:color w:val="auto"/>
          <w:szCs w:val="21"/>
        </w:rPr>
        <w:t>；</w:t>
      </w:r>
      <w:r>
        <w:rPr>
          <w:rFonts w:ascii="宋体" w:hAnsi="宋体"/>
          <w:color w:val="auto"/>
          <w:szCs w:val="21"/>
        </w:rPr>
        <w:t>迟延</w:t>
      </w:r>
      <w:r>
        <w:rPr>
          <w:rFonts w:hint="eastAsia" w:ascii="宋体" w:hAnsi="宋体"/>
          <w:color w:val="auto"/>
          <w:szCs w:val="21"/>
        </w:rPr>
        <w:t>付款</w:t>
      </w:r>
      <w:r>
        <w:rPr>
          <w:rFonts w:ascii="宋体" w:hAnsi="宋体"/>
          <w:color w:val="auto"/>
          <w:szCs w:val="21"/>
        </w:rPr>
        <w:t>的违约金计算数额达到前述最高限额之日起</w:t>
      </w:r>
      <w:r>
        <w:rPr>
          <w:rFonts w:hint="eastAsia" w:ascii="宋体" w:hAnsi="宋体"/>
          <w:color w:val="auto"/>
          <w:szCs w:val="21"/>
        </w:rPr>
        <w:t>，乙</w:t>
      </w:r>
      <w:r>
        <w:rPr>
          <w:rFonts w:ascii="宋体" w:hAnsi="宋体"/>
          <w:color w:val="auto"/>
          <w:szCs w:val="21"/>
        </w:rPr>
        <w:t>方有权在要求甲方支付违约金的同时</w:t>
      </w:r>
      <w:r>
        <w:rPr>
          <w:rFonts w:hint="eastAsia" w:ascii="宋体" w:hAnsi="宋体"/>
          <w:color w:val="auto"/>
          <w:szCs w:val="21"/>
        </w:rPr>
        <w:t>，书面通知甲方</w:t>
      </w:r>
      <w:r>
        <w:rPr>
          <w:rFonts w:ascii="宋体" w:hAnsi="宋体"/>
          <w:color w:val="auto"/>
          <w:szCs w:val="21"/>
        </w:rPr>
        <w:t>解除本合同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color w:val="auto"/>
          <w:szCs w:val="21"/>
        </w:rPr>
      </w:pPr>
      <w:r>
        <w:rPr>
          <w:rFonts w:hint="eastAsia" w:ascii="宋体" w:hAnsi="宋体"/>
          <w:color w:val="auto"/>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宋体" w:hAnsi="宋体"/>
          <w:color w:val="auto"/>
          <w:szCs w:val="21"/>
        </w:rPr>
      </w:pPr>
      <w:r>
        <w:rPr>
          <w:rFonts w:hint="eastAsia" w:ascii="宋体" w:hAnsi="宋体"/>
          <w:color w:val="auto"/>
          <w:szCs w:val="21"/>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宋体" w:hAnsi="宋体"/>
          <w:b/>
          <w:bCs/>
          <w:color w:val="auto"/>
          <w:szCs w:val="21"/>
          <w:lang w:val="zh-CN"/>
        </w:rPr>
      </w:pPr>
      <w:bookmarkStart w:id="590" w:name="_Toc16021"/>
      <w:bookmarkStart w:id="591" w:name="_Toc28375"/>
      <w:bookmarkStart w:id="592" w:name="_Toc15583"/>
      <w:r>
        <w:rPr>
          <w:rFonts w:hint="eastAsia" w:ascii="宋体" w:hAnsi="宋体"/>
          <w:b/>
          <w:bCs/>
          <w:color w:val="auto"/>
          <w:szCs w:val="21"/>
          <w:lang w:val="zh-CN"/>
        </w:rPr>
        <w:t>1.7</w:t>
      </w:r>
      <w:r>
        <w:rPr>
          <w:rFonts w:ascii="宋体" w:hAnsi="宋体"/>
          <w:b/>
          <w:bCs/>
          <w:color w:val="auto"/>
          <w:szCs w:val="21"/>
          <w:lang w:val="zh-CN"/>
        </w:rPr>
        <w:t xml:space="preserve"> </w:t>
      </w:r>
      <w:r>
        <w:rPr>
          <w:rFonts w:hint="eastAsia" w:ascii="宋体" w:hAnsi="宋体"/>
          <w:b/>
          <w:bCs/>
          <w:color w:val="auto"/>
          <w:szCs w:val="21"/>
          <w:lang w:val="zh-CN"/>
        </w:rPr>
        <w:t>合同</w:t>
      </w:r>
      <w:r>
        <w:rPr>
          <w:rFonts w:ascii="宋体" w:hAnsi="宋体"/>
          <w:b/>
          <w:bCs/>
          <w:color w:val="auto"/>
          <w:szCs w:val="21"/>
          <w:lang w:val="zh-CN"/>
        </w:rPr>
        <w:t>争议的解决</w:t>
      </w:r>
      <w:bookmarkEnd w:id="590"/>
      <w:bookmarkEnd w:id="591"/>
      <w:bookmarkEnd w:id="592"/>
    </w:p>
    <w:p>
      <w:pPr>
        <w:spacing w:line="360" w:lineRule="auto"/>
        <w:ind w:firstLine="435"/>
        <w:rPr>
          <w:rFonts w:ascii="宋体" w:hAnsi="宋体"/>
          <w:color w:val="auto"/>
          <w:szCs w:val="21"/>
        </w:rPr>
      </w:pPr>
      <w:r>
        <w:rPr>
          <w:rFonts w:hint="eastAsia" w:ascii="宋体" w:hAnsi="宋体"/>
          <w:color w:val="auto"/>
          <w:szCs w:val="21"/>
        </w:rPr>
        <w:t>本合</w:t>
      </w:r>
      <w:r>
        <w:rPr>
          <w:rFonts w:ascii="宋体" w:hAnsi="宋体"/>
          <w:color w:val="auto"/>
          <w:szCs w:val="21"/>
        </w:rPr>
        <w:t>同履行过程中发生的任何争议，双方当事人均可</w:t>
      </w:r>
      <w:r>
        <w:rPr>
          <w:rFonts w:hint="eastAsia" w:ascii="宋体" w:hAnsi="宋体"/>
          <w:color w:val="auto"/>
          <w:szCs w:val="21"/>
        </w:rPr>
        <w:t>通过和解或者调解解决；不愿和解、调解或者和解、调解不成的，可以选择下列第</w:t>
      </w:r>
      <w:r>
        <w:rPr>
          <w:rFonts w:hint="eastAsia" w:ascii="宋体" w:hAnsi="宋体"/>
          <w:color w:val="auto"/>
          <w:szCs w:val="21"/>
          <w:u w:val="single"/>
        </w:rPr>
        <w:t xml:space="preserve"> 1.7.2  </w:t>
      </w:r>
      <w:r>
        <w:rPr>
          <w:rFonts w:hint="eastAsia" w:ascii="宋体" w:hAnsi="宋体"/>
          <w:color w:val="auto"/>
          <w:szCs w:val="21"/>
        </w:rPr>
        <w:t>种方式解决：</w:t>
      </w:r>
    </w:p>
    <w:p>
      <w:pPr>
        <w:spacing w:line="360" w:lineRule="auto"/>
        <w:ind w:firstLine="435"/>
        <w:rPr>
          <w:rFonts w:ascii="宋体" w:hAnsi="宋体"/>
          <w:color w:val="auto"/>
          <w:szCs w:val="21"/>
        </w:rPr>
      </w:pPr>
      <w:r>
        <w:rPr>
          <w:rFonts w:hint="eastAsia" w:ascii="宋体" w:hAnsi="宋体"/>
          <w:color w:val="auto"/>
          <w:szCs w:val="21"/>
        </w:rPr>
        <w:t>1.7.1将争议提交滁州仲裁委员会依申请仲裁时其现行有效的仲裁规则裁决；</w:t>
      </w:r>
    </w:p>
    <w:p>
      <w:pPr>
        <w:spacing w:line="360" w:lineRule="auto"/>
        <w:ind w:firstLine="435"/>
        <w:rPr>
          <w:rFonts w:ascii="宋体" w:hAnsi="宋体"/>
          <w:color w:val="auto"/>
          <w:szCs w:val="21"/>
        </w:rPr>
      </w:pPr>
      <w:r>
        <w:rPr>
          <w:rFonts w:hint="eastAsia" w:ascii="宋体" w:hAnsi="宋体"/>
          <w:color w:val="auto"/>
          <w:szCs w:val="21"/>
        </w:rPr>
        <w:t>1.7.2向甲方（采购人）</w:t>
      </w:r>
      <w:r>
        <w:rPr>
          <w:rFonts w:hint="eastAsia" w:ascii="宋体" w:cs="宋体"/>
          <w:color w:val="auto"/>
          <w:szCs w:val="21"/>
          <w:u w:color="000000"/>
        </w:rPr>
        <w:t>所在地</w:t>
      </w:r>
      <w:r>
        <w:rPr>
          <w:rFonts w:hint="eastAsia" w:ascii="宋体" w:hAnsi="宋体"/>
          <w:color w:val="auto"/>
          <w:szCs w:val="21"/>
        </w:rPr>
        <w:t>人民法院起诉。</w:t>
      </w:r>
    </w:p>
    <w:p>
      <w:pPr>
        <w:spacing w:line="360" w:lineRule="auto"/>
        <w:ind w:firstLine="437"/>
        <w:outlineLvl w:val="3"/>
        <w:rPr>
          <w:rFonts w:ascii="宋体" w:hAnsi="宋体"/>
          <w:b/>
          <w:bCs/>
          <w:color w:val="auto"/>
          <w:szCs w:val="21"/>
          <w:lang w:val="zh-CN"/>
        </w:rPr>
      </w:pPr>
      <w:bookmarkStart w:id="593" w:name="_Toc11173"/>
      <w:bookmarkStart w:id="594" w:name="_Toc7245"/>
      <w:bookmarkStart w:id="595" w:name="_Toc15322"/>
      <w:r>
        <w:rPr>
          <w:rFonts w:hint="eastAsia" w:ascii="宋体" w:hAnsi="宋体"/>
          <w:b/>
          <w:bCs/>
          <w:color w:val="auto"/>
          <w:szCs w:val="21"/>
          <w:lang w:val="zh-CN"/>
        </w:rPr>
        <w:t>1.8</w:t>
      </w:r>
      <w:r>
        <w:rPr>
          <w:rFonts w:ascii="宋体" w:hAnsi="宋体"/>
          <w:b/>
          <w:bCs/>
          <w:color w:val="auto"/>
          <w:szCs w:val="21"/>
          <w:lang w:val="zh-CN"/>
        </w:rPr>
        <w:t xml:space="preserve"> 合同生效</w:t>
      </w:r>
      <w:bookmarkEnd w:id="593"/>
      <w:bookmarkEnd w:id="594"/>
      <w:bookmarkEnd w:id="595"/>
    </w:p>
    <w:p>
      <w:pPr>
        <w:spacing w:line="360" w:lineRule="auto"/>
        <w:ind w:firstLine="435"/>
        <w:rPr>
          <w:rFonts w:ascii="宋体" w:hAnsi="宋体"/>
          <w:color w:val="auto"/>
          <w:szCs w:val="21"/>
        </w:rPr>
      </w:pPr>
      <w:r>
        <w:rPr>
          <w:rFonts w:ascii="宋体" w:hAnsi="宋体"/>
          <w:color w:val="auto"/>
          <w:szCs w:val="21"/>
        </w:rPr>
        <w:t>本合同自</w:t>
      </w:r>
      <w:r>
        <w:rPr>
          <w:rFonts w:hint="eastAsia" w:ascii="宋体" w:hAnsi="宋体"/>
          <w:color w:val="auto"/>
          <w:szCs w:val="21"/>
        </w:rPr>
        <w:t>双方当事人盖章时</w:t>
      </w:r>
      <w:r>
        <w:rPr>
          <w:rFonts w:ascii="宋体" w:hAnsi="宋体"/>
          <w:color w:val="auto"/>
          <w:szCs w:val="21"/>
        </w:rPr>
        <w:t>生效。</w:t>
      </w: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color w:val="auto"/>
          <w:szCs w:val="21"/>
          <w:lang w:val="zh-CN"/>
        </w:rPr>
      </w:pPr>
    </w:p>
    <w:p>
      <w:pPr>
        <w:autoSpaceDE w:val="0"/>
        <w:autoSpaceDN w:val="0"/>
        <w:adjustRightInd w:val="0"/>
        <w:spacing w:line="560" w:lineRule="exact"/>
        <w:rPr>
          <w:rFonts w:ascii="宋体" w:hAnsi="宋体"/>
          <w:bCs/>
          <w:color w:val="auto"/>
          <w:szCs w:val="21"/>
          <w:lang w:val="zh-CN"/>
        </w:rPr>
      </w:pPr>
      <w:r>
        <w:rPr>
          <w:rFonts w:hint="eastAsia" w:ascii="宋体" w:hAnsi="宋体"/>
          <w:bCs/>
          <w:color w:val="auto"/>
          <w:szCs w:val="21"/>
          <w:lang w:val="zh-CN"/>
        </w:rPr>
        <w:t xml:space="preserve">甲 </w:t>
      </w:r>
      <w:r>
        <w:rPr>
          <w:rFonts w:ascii="宋体" w:hAnsi="宋体"/>
          <w:bCs/>
          <w:color w:val="auto"/>
          <w:szCs w:val="21"/>
          <w:lang w:val="zh-CN"/>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r>
        <w:rPr>
          <w:rFonts w:hint="eastAsia" w:ascii="宋体" w:hAnsi="宋体"/>
          <w:bCs/>
          <w:color w:val="auto"/>
          <w:szCs w:val="21"/>
          <w:lang w:val="zh-CN"/>
        </w:rPr>
        <w:t xml:space="preserve">          乙</w:t>
      </w:r>
      <w:r>
        <w:rPr>
          <w:rFonts w:hint="eastAsia" w:ascii="宋体" w:hAnsi="宋体"/>
          <w:bCs/>
          <w:color w:val="auto"/>
          <w:szCs w:val="21"/>
        </w:rPr>
        <w:t xml:space="preserve">    </w:t>
      </w:r>
      <w:r>
        <w:rPr>
          <w:rFonts w:hint="eastAsia" w:ascii="宋体" w:hAnsi="宋体"/>
          <w:bCs/>
          <w:color w:val="auto"/>
          <w:szCs w:val="21"/>
          <w:lang w:val="zh-CN"/>
        </w:rPr>
        <w:t>方：</w:t>
      </w:r>
      <w:r>
        <w:rPr>
          <w:rFonts w:hint="eastAsia" w:ascii="宋体" w:hAnsi="宋体"/>
          <w:bCs/>
          <w:color w:val="auto"/>
          <w:szCs w:val="21"/>
          <w:u w:val="single"/>
          <w:lang w:val="zh-CN"/>
        </w:rPr>
        <w:t xml:space="preserve">    （单位盖章）     </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 xml:space="preserve">法定代表人                             </w:t>
      </w:r>
      <w:r>
        <w:rPr>
          <w:rFonts w:ascii="宋体" w:hAnsi="宋体"/>
          <w:color w:val="auto"/>
          <w:szCs w:val="21"/>
          <w:lang w:val="zh-CN"/>
        </w:rPr>
        <w:t xml:space="preserve">  </w:t>
      </w:r>
      <w:r>
        <w:rPr>
          <w:rFonts w:hint="eastAsia" w:ascii="宋体" w:hAnsi="宋体"/>
          <w:color w:val="auto"/>
          <w:szCs w:val="21"/>
          <w:lang w:val="zh-CN"/>
        </w:rPr>
        <w:t>法定代表人</w:t>
      </w:r>
    </w:p>
    <w:p>
      <w:pPr>
        <w:autoSpaceDE w:val="0"/>
        <w:autoSpaceDN w:val="0"/>
        <w:adjustRightInd w:val="0"/>
        <w:spacing w:line="560" w:lineRule="exact"/>
        <w:rPr>
          <w:rFonts w:ascii="宋体" w:hAnsi="宋体"/>
          <w:color w:val="auto"/>
          <w:szCs w:val="21"/>
          <w:lang w:val="zh-CN"/>
        </w:rPr>
      </w:pPr>
      <w:r>
        <w:rPr>
          <w:rFonts w:hint="eastAsia" w:ascii="宋体" w:hAnsi="宋体"/>
          <w:color w:val="auto"/>
          <w:szCs w:val="21"/>
          <w:lang w:val="zh-CN"/>
        </w:rPr>
        <w:t>或授权代表（签字）：                     或授权代表（签字）：</w:t>
      </w:r>
    </w:p>
    <w:p>
      <w:pPr>
        <w:widowControl/>
        <w:spacing w:line="560" w:lineRule="exact"/>
        <w:jc w:val="left"/>
        <w:rPr>
          <w:rFonts w:ascii="宋体" w:hAnsi="宋体"/>
          <w:bCs/>
          <w:color w:val="auto"/>
          <w:szCs w:val="21"/>
        </w:rPr>
      </w:pPr>
      <w:bookmarkStart w:id="596" w:name="_Toc331685783"/>
      <w:r>
        <w:rPr>
          <w:rFonts w:hint="eastAsia" w:ascii="宋体" w:hAnsi="宋体"/>
          <w:bCs/>
          <w:color w:val="auto"/>
          <w:szCs w:val="21"/>
        </w:rPr>
        <w:t>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               时间：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日</w:t>
      </w:r>
    </w:p>
    <w:p>
      <w:pPr>
        <w:widowControl/>
        <w:jc w:val="left"/>
        <w:rPr>
          <w:rFonts w:ascii="宋体" w:hAnsi="宋体"/>
          <w:b/>
          <w:color w:val="auto"/>
          <w:szCs w:val="21"/>
        </w:rPr>
      </w:pPr>
    </w:p>
    <w:p>
      <w:pPr>
        <w:widowControl/>
        <w:jc w:val="left"/>
        <w:rPr>
          <w:rFonts w:ascii="宋体" w:hAnsi="宋体"/>
          <w:b/>
          <w:color w:val="auto"/>
          <w:szCs w:val="21"/>
        </w:rPr>
      </w:pPr>
    </w:p>
    <w:p>
      <w:pPr>
        <w:widowControl/>
        <w:jc w:val="center"/>
        <w:rPr>
          <w:rFonts w:ascii="宋体" w:hAnsi="宋体"/>
          <w:b/>
          <w:color w:val="auto"/>
          <w:szCs w:val="21"/>
        </w:rPr>
      </w:pPr>
      <w:r>
        <w:rPr>
          <w:rFonts w:hint="eastAsia" w:ascii="宋体" w:hAnsi="宋体"/>
          <w:b/>
          <w:color w:val="auto"/>
          <w:szCs w:val="21"/>
        </w:rPr>
        <w:t>第二部分</w:t>
      </w:r>
      <w:r>
        <w:rPr>
          <w:rFonts w:ascii="宋体" w:hAnsi="宋体"/>
          <w:b/>
          <w:color w:val="auto"/>
          <w:szCs w:val="21"/>
        </w:rPr>
        <w:t xml:space="preserve"> </w:t>
      </w:r>
      <w:r>
        <w:rPr>
          <w:rFonts w:hint="eastAsia" w:ascii="宋体" w:hAnsi="宋体"/>
          <w:b/>
          <w:color w:val="auto"/>
          <w:szCs w:val="21"/>
        </w:rPr>
        <w:t>合同一般条款</w:t>
      </w:r>
      <w:bookmarkEnd w:id="596"/>
    </w:p>
    <w:p>
      <w:pPr>
        <w:spacing w:line="360" w:lineRule="auto"/>
        <w:ind w:firstLine="437"/>
        <w:outlineLvl w:val="3"/>
        <w:rPr>
          <w:rFonts w:ascii="宋体" w:hAnsi="宋体"/>
          <w:b/>
          <w:bCs/>
          <w:color w:val="auto"/>
          <w:szCs w:val="21"/>
          <w:lang w:val="zh-CN"/>
        </w:rPr>
      </w:pPr>
      <w:bookmarkStart w:id="597" w:name="_Ref467378404"/>
      <w:bookmarkStart w:id="598" w:name="_Toc259093669"/>
      <w:bookmarkStart w:id="599" w:name="_Ref467379109"/>
      <w:bookmarkStart w:id="600" w:name="_Ref467379225"/>
      <w:bookmarkStart w:id="601" w:name="_Ref467378499"/>
      <w:bookmarkStart w:id="602" w:name="_Toc28763"/>
      <w:bookmarkStart w:id="603" w:name="_Ref467379214"/>
      <w:bookmarkStart w:id="604" w:name="_Ref467379094"/>
      <w:bookmarkStart w:id="605" w:name="_Toc487900349"/>
      <w:bookmarkStart w:id="606" w:name="_Ref467379205"/>
      <w:bookmarkStart w:id="607" w:name="_Toc16917"/>
      <w:bookmarkStart w:id="608" w:name="_Toc19614"/>
      <w:bookmarkStart w:id="609" w:name="_Ref467379195"/>
      <w:bookmarkStart w:id="610" w:name="_Ref467379101"/>
      <w:bookmarkStart w:id="611" w:name="_Ref467378463"/>
      <w:bookmarkStart w:id="612" w:name="_Toc279701240"/>
      <w:r>
        <w:rPr>
          <w:rFonts w:hint="eastAsia" w:ascii="宋体" w:hAnsi="宋体"/>
          <w:b/>
          <w:bCs/>
          <w:color w:val="auto"/>
          <w:szCs w:val="21"/>
          <w:lang w:val="zh-CN"/>
        </w:rPr>
        <w:t>2.1</w:t>
      </w:r>
      <w:r>
        <w:rPr>
          <w:rFonts w:ascii="宋体" w:hAnsi="宋体"/>
          <w:b/>
          <w:bCs/>
          <w:color w:val="auto"/>
          <w:szCs w:val="21"/>
          <w:lang w:val="zh-CN"/>
        </w:rPr>
        <w:t xml:space="preserve">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435"/>
        <w:rPr>
          <w:rFonts w:ascii="宋体" w:hAnsi="宋体"/>
          <w:color w:val="auto"/>
          <w:szCs w:val="21"/>
        </w:rPr>
      </w:pPr>
      <w:r>
        <w:rPr>
          <w:rFonts w:ascii="宋体" w:hAnsi="宋体"/>
          <w:color w:val="auto"/>
          <w:szCs w:val="21"/>
        </w:rPr>
        <w:t>本合同中的下列</w:t>
      </w:r>
      <w:r>
        <w:rPr>
          <w:rFonts w:hint="eastAsia" w:ascii="宋体" w:hAnsi="宋体"/>
          <w:color w:val="auto"/>
          <w:szCs w:val="21"/>
        </w:rPr>
        <w:t>词</w:t>
      </w:r>
      <w:r>
        <w:rPr>
          <w:rFonts w:ascii="宋体" w:hAnsi="宋体"/>
          <w:color w:val="auto"/>
          <w:szCs w:val="21"/>
        </w:rPr>
        <w:t>语应</w:t>
      </w:r>
      <w:r>
        <w:rPr>
          <w:rFonts w:hint="eastAsia" w:ascii="宋体" w:hAnsi="宋体"/>
          <w:color w:val="auto"/>
          <w:szCs w:val="21"/>
        </w:rPr>
        <w:t>按以下内容进行</w:t>
      </w:r>
      <w:r>
        <w:rPr>
          <w:rFonts w:ascii="宋体" w:hAnsi="宋体"/>
          <w:color w:val="auto"/>
          <w:szCs w:val="21"/>
        </w:rPr>
        <w:t>解释：</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.1</w:t>
      </w:r>
      <w:r>
        <w:rPr>
          <w:rFonts w:ascii="宋体" w:hAnsi="宋体"/>
          <w:color w:val="auto"/>
          <w:szCs w:val="21"/>
        </w:rPr>
        <w:t>“合同”系指采购人和中标</w:t>
      </w:r>
      <w:r>
        <w:rPr>
          <w:rFonts w:hint="eastAsia" w:ascii="宋体" w:hAnsi="宋体"/>
          <w:color w:val="auto"/>
          <w:szCs w:val="21"/>
        </w:rPr>
        <w:t>人</w:t>
      </w:r>
      <w:r>
        <w:rPr>
          <w:rFonts w:ascii="宋体" w:hAnsi="宋体"/>
          <w:color w:val="auto"/>
          <w:szCs w:val="21"/>
        </w:rPr>
        <w:t>签订的载明双方当事人所达成的协议，并包括所有的附件、附录和构成合同的其他文件。</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1.2“合同价”系指根据合同约定，中标</w:t>
      </w:r>
      <w:r>
        <w:rPr>
          <w:rFonts w:hint="eastAsia" w:ascii="宋体" w:hAnsi="宋体"/>
          <w:color w:val="auto"/>
          <w:szCs w:val="21"/>
        </w:rPr>
        <w:t>人</w:t>
      </w:r>
      <w:r>
        <w:rPr>
          <w:rFonts w:ascii="宋体" w:hAnsi="宋体"/>
          <w:color w:val="auto"/>
          <w:szCs w:val="21"/>
        </w:rPr>
        <w:t>在完全履行合同义务后</w:t>
      </w:r>
      <w:r>
        <w:rPr>
          <w:rFonts w:hint="eastAsia" w:ascii="宋体" w:hAnsi="宋体"/>
          <w:color w:val="auto"/>
          <w:szCs w:val="21"/>
        </w:rPr>
        <w:t>，</w:t>
      </w:r>
      <w:r>
        <w:rPr>
          <w:rFonts w:ascii="宋体" w:hAnsi="宋体"/>
          <w:color w:val="auto"/>
          <w:szCs w:val="21"/>
        </w:rPr>
        <w:t>采购人应支付给中标人的价格。</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1.3“</w:t>
      </w:r>
      <w:r>
        <w:rPr>
          <w:rFonts w:hint="eastAsia" w:ascii="宋体" w:hAnsi="宋体"/>
          <w:color w:val="auto"/>
          <w:szCs w:val="21"/>
        </w:rPr>
        <w:t>服务</w:t>
      </w:r>
      <w:r>
        <w:rPr>
          <w:rFonts w:ascii="宋体" w:hAnsi="宋体"/>
          <w:color w:val="auto"/>
          <w:szCs w:val="21"/>
        </w:rPr>
        <w:t>”系指</w:t>
      </w:r>
      <w:r>
        <w:rPr>
          <w:rFonts w:hint="eastAsia" w:ascii="宋体" w:hAnsi="宋体"/>
          <w:color w:val="auto"/>
          <w:szCs w:val="21"/>
        </w:rPr>
        <w:t>中标人</w:t>
      </w:r>
      <w:r>
        <w:rPr>
          <w:rFonts w:ascii="宋体" w:hAnsi="宋体"/>
          <w:color w:val="auto"/>
          <w:szCs w:val="21"/>
        </w:rPr>
        <w:t>根据合同约定应向采购人</w:t>
      </w:r>
      <w:r>
        <w:rPr>
          <w:rFonts w:hint="eastAsia" w:ascii="宋体" w:hAnsi="宋体"/>
          <w:color w:val="auto"/>
          <w:szCs w:val="21"/>
        </w:rPr>
        <w:t>履行</w:t>
      </w:r>
      <w:r>
        <w:rPr>
          <w:rFonts w:ascii="宋体" w:hAnsi="宋体"/>
          <w:color w:val="auto"/>
          <w:szCs w:val="21"/>
        </w:rPr>
        <w:t>的</w:t>
      </w:r>
      <w:r>
        <w:rPr>
          <w:rFonts w:hint="eastAsia" w:ascii="宋体" w:hAnsi="宋体"/>
          <w:color w:val="auto"/>
          <w:szCs w:val="21"/>
        </w:rPr>
        <w:t>除货物和工程以外的其他政府采购对象，包括采购人自身需要的服务和向社会公众提供的公共服务。</w:t>
      </w:r>
    </w:p>
    <w:p>
      <w:pPr>
        <w:spacing w:line="360" w:lineRule="auto"/>
        <w:ind w:firstLine="435"/>
        <w:rPr>
          <w:rFonts w:ascii="宋体" w:hAnsi="宋体"/>
          <w:color w:val="auto"/>
          <w:szCs w:val="21"/>
        </w:rPr>
      </w:pPr>
      <w:bookmarkStart w:id="613" w:name="_Ref467378840"/>
      <w:r>
        <w:rPr>
          <w:rFonts w:hint="eastAsia" w:ascii="宋体" w:hAnsi="宋体"/>
          <w:color w:val="auto"/>
          <w:szCs w:val="21"/>
        </w:rPr>
        <w:t>2.</w:t>
      </w:r>
      <w:r>
        <w:rPr>
          <w:rFonts w:ascii="宋体" w:hAnsi="宋体"/>
          <w:color w:val="auto"/>
          <w:szCs w:val="21"/>
        </w:rPr>
        <w:t>1.</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甲方</w:t>
      </w:r>
      <w:r>
        <w:rPr>
          <w:rFonts w:ascii="宋体" w:hAnsi="宋体"/>
          <w:color w:val="auto"/>
          <w:szCs w:val="21"/>
        </w:rPr>
        <w:t>”系指与</w:t>
      </w:r>
      <w:r>
        <w:rPr>
          <w:rFonts w:hint="eastAsia" w:ascii="宋体" w:hAnsi="宋体"/>
          <w:color w:val="auto"/>
          <w:szCs w:val="21"/>
        </w:rPr>
        <w:t>中标人</w:t>
      </w:r>
      <w:r>
        <w:rPr>
          <w:rFonts w:ascii="宋体" w:hAnsi="宋体"/>
          <w:color w:val="auto"/>
          <w:szCs w:val="21"/>
        </w:rPr>
        <w:t>签署合同的采购人</w:t>
      </w:r>
      <w:bookmarkEnd w:id="613"/>
      <w:r>
        <w:rPr>
          <w:rFonts w:hint="eastAsia" w:ascii="宋体" w:hAnsi="宋体"/>
          <w:color w:val="auto"/>
          <w:szCs w:val="21"/>
        </w:rPr>
        <w:t>；采购人委托采购代理机构代表其与乙方签订合同的，采购人的授权委托书作为合同附件。</w:t>
      </w:r>
    </w:p>
    <w:p>
      <w:pPr>
        <w:spacing w:line="360" w:lineRule="auto"/>
        <w:ind w:firstLine="435"/>
        <w:rPr>
          <w:rFonts w:ascii="宋体" w:hAnsi="宋体"/>
          <w:color w:val="auto"/>
          <w:szCs w:val="21"/>
        </w:rPr>
      </w:pPr>
      <w:bookmarkStart w:id="614" w:name="_Ref467379400"/>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“乙方”系指根据合同约定</w:t>
      </w:r>
      <w:r>
        <w:rPr>
          <w:rFonts w:hint="eastAsia" w:ascii="宋体" w:hAnsi="宋体"/>
          <w:color w:val="auto"/>
          <w:szCs w:val="21"/>
        </w:rPr>
        <w:t>提供服务</w:t>
      </w:r>
      <w:r>
        <w:rPr>
          <w:rFonts w:ascii="宋体" w:hAnsi="宋体"/>
          <w:color w:val="auto"/>
          <w:szCs w:val="21"/>
        </w:rPr>
        <w:t>的中标人</w:t>
      </w:r>
      <w:bookmarkEnd w:id="614"/>
      <w:r>
        <w:rPr>
          <w:rFonts w:hint="eastAsia" w:ascii="宋体" w:hAnsi="宋体"/>
          <w:color w:val="auto"/>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宋体" w:hAnsi="宋体"/>
          <w:color w:val="auto"/>
          <w:szCs w:val="21"/>
        </w:rPr>
      </w:pPr>
      <w:bookmarkStart w:id="615" w:name="_Ref467379436"/>
      <w:r>
        <w:rPr>
          <w:rFonts w:hint="eastAsia" w:ascii="宋体" w:hAnsi="宋体"/>
          <w:color w:val="auto"/>
          <w:szCs w:val="21"/>
        </w:rPr>
        <w:t>2.</w:t>
      </w:r>
      <w:r>
        <w:rPr>
          <w:rFonts w:ascii="宋体" w:hAnsi="宋体"/>
          <w:color w:val="auto"/>
          <w:szCs w:val="21"/>
        </w:rPr>
        <w:t>1.</w:t>
      </w:r>
      <w:r>
        <w:rPr>
          <w:rFonts w:hint="eastAsia" w:ascii="宋体" w:hAnsi="宋体"/>
          <w:color w:val="auto"/>
          <w:szCs w:val="21"/>
        </w:rPr>
        <w:t>6</w:t>
      </w:r>
      <w:r>
        <w:rPr>
          <w:rFonts w:ascii="宋体" w:hAnsi="宋体"/>
          <w:color w:val="auto"/>
          <w:szCs w:val="21"/>
        </w:rPr>
        <w:t>“现场”系指合同约定</w:t>
      </w:r>
      <w:r>
        <w:rPr>
          <w:rFonts w:hint="eastAsia" w:ascii="宋体" w:hAnsi="宋体"/>
          <w:color w:val="auto"/>
          <w:szCs w:val="21"/>
        </w:rPr>
        <w:t>提供服务</w:t>
      </w:r>
      <w:r>
        <w:rPr>
          <w:rFonts w:ascii="宋体" w:hAnsi="宋体"/>
          <w:color w:val="auto"/>
          <w:szCs w:val="21"/>
        </w:rPr>
        <w:t>的地点。</w:t>
      </w:r>
      <w:bookmarkEnd w:id="615"/>
    </w:p>
    <w:p>
      <w:pPr>
        <w:spacing w:line="360" w:lineRule="auto"/>
        <w:ind w:firstLine="437"/>
        <w:outlineLvl w:val="3"/>
        <w:rPr>
          <w:rFonts w:ascii="宋体" w:hAnsi="宋体"/>
          <w:b/>
          <w:bCs/>
          <w:color w:val="auto"/>
          <w:szCs w:val="21"/>
          <w:lang w:val="zh-CN"/>
        </w:rPr>
      </w:pPr>
      <w:bookmarkStart w:id="616" w:name="_Toc487900350"/>
      <w:bookmarkStart w:id="617" w:name="_Toc279701241"/>
      <w:bookmarkStart w:id="618" w:name="_Toc27635"/>
      <w:bookmarkStart w:id="619" w:name="_Toc13336"/>
      <w:bookmarkStart w:id="620" w:name="_Toc32504"/>
      <w:bookmarkStart w:id="621" w:name="_Toc259093670"/>
      <w:r>
        <w:rPr>
          <w:rFonts w:hint="eastAsia" w:ascii="宋体" w:hAnsi="宋体"/>
          <w:b/>
          <w:bCs/>
          <w:color w:val="auto"/>
          <w:szCs w:val="21"/>
          <w:lang w:val="zh-CN"/>
        </w:rPr>
        <w:t>2.</w:t>
      </w:r>
      <w:r>
        <w:rPr>
          <w:rFonts w:ascii="宋体" w:hAnsi="宋体"/>
          <w:b/>
          <w:bCs/>
          <w:color w:val="auto"/>
          <w:szCs w:val="21"/>
          <w:lang w:val="zh-CN"/>
        </w:rPr>
        <w:t>2 技术规范</w:t>
      </w:r>
      <w:bookmarkEnd w:id="616"/>
      <w:bookmarkEnd w:id="617"/>
      <w:bookmarkEnd w:id="618"/>
      <w:bookmarkEnd w:id="619"/>
      <w:bookmarkEnd w:id="620"/>
      <w:bookmarkEnd w:id="621"/>
    </w:p>
    <w:p>
      <w:pPr>
        <w:spacing w:line="360" w:lineRule="auto"/>
        <w:ind w:firstLine="435"/>
        <w:rPr>
          <w:rFonts w:ascii="宋体" w:hAnsi="宋体"/>
          <w:color w:val="auto"/>
          <w:szCs w:val="21"/>
        </w:rPr>
      </w:pPr>
      <w:r>
        <w:rPr>
          <w:rFonts w:ascii="宋体" w:hAnsi="宋体"/>
          <w:color w:val="auto"/>
          <w:szCs w:val="21"/>
        </w:rPr>
        <w:t>货物所应遵守的技术规范应与采购文件规定的技术规范和技术规范附件(如果有的话)及其技术规范偏差表(如果被甲方接受的话)相一致</w:t>
      </w:r>
      <w:r>
        <w:rPr>
          <w:rFonts w:hint="eastAsia" w:ascii="宋体" w:hAnsi="宋体"/>
          <w:color w:val="auto"/>
          <w:szCs w:val="21"/>
        </w:rPr>
        <w:t>；</w:t>
      </w:r>
      <w:r>
        <w:rPr>
          <w:rFonts w:ascii="宋体" w:hAnsi="宋体"/>
          <w:color w:val="auto"/>
          <w:szCs w:val="21"/>
        </w:rPr>
        <w:t>如果采购文件中没有技术规范的相应说明，那么应以国家有关部门最新颁布的相应标准</w:t>
      </w:r>
      <w:r>
        <w:rPr>
          <w:rFonts w:hint="eastAsia" w:ascii="宋体" w:hAnsi="宋体"/>
          <w:color w:val="auto"/>
          <w:szCs w:val="21"/>
        </w:rPr>
        <w:t>和</w:t>
      </w:r>
      <w:r>
        <w:rPr>
          <w:rFonts w:ascii="宋体" w:hAnsi="宋体"/>
          <w:color w:val="auto"/>
          <w:szCs w:val="21"/>
        </w:rPr>
        <w:t>规范为准。</w:t>
      </w:r>
    </w:p>
    <w:p>
      <w:pPr>
        <w:spacing w:line="360" w:lineRule="auto"/>
        <w:ind w:firstLine="437"/>
        <w:outlineLvl w:val="3"/>
        <w:rPr>
          <w:rFonts w:ascii="宋体" w:hAnsi="宋体"/>
          <w:b/>
          <w:bCs/>
          <w:color w:val="auto"/>
          <w:szCs w:val="21"/>
          <w:lang w:val="zh-CN"/>
        </w:rPr>
      </w:pPr>
      <w:bookmarkStart w:id="622" w:name="_Toc487900351"/>
      <w:bookmarkStart w:id="623" w:name="_Toc27853"/>
      <w:bookmarkStart w:id="624" w:name="_Toc279701242"/>
      <w:bookmarkStart w:id="625" w:name="_Toc31634"/>
      <w:bookmarkStart w:id="626" w:name="_Toc9829"/>
      <w:bookmarkStart w:id="627" w:name="_Toc259093671"/>
      <w:r>
        <w:rPr>
          <w:rFonts w:hint="eastAsia" w:ascii="宋体" w:hAnsi="宋体"/>
          <w:b/>
          <w:bCs/>
          <w:color w:val="auto"/>
          <w:szCs w:val="21"/>
          <w:lang w:val="zh-CN"/>
        </w:rPr>
        <w:t>2.</w:t>
      </w:r>
      <w:r>
        <w:rPr>
          <w:rFonts w:ascii="宋体" w:hAnsi="宋体"/>
          <w:b/>
          <w:bCs/>
          <w:color w:val="auto"/>
          <w:szCs w:val="21"/>
          <w:lang w:val="zh-CN"/>
        </w:rPr>
        <w:t>3 知识产权</w:t>
      </w:r>
      <w:bookmarkEnd w:id="622"/>
      <w:bookmarkEnd w:id="623"/>
      <w:bookmarkEnd w:id="624"/>
      <w:bookmarkEnd w:id="625"/>
      <w:bookmarkEnd w:id="626"/>
      <w:bookmarkEnd w:id="627"/>
    </w:p>
    <w:p>
      <w:pPr>
        <w:spacing w:line="360" w:lineRule="auto"/>
        <w:ind w:firstLine="435"/>
        <w:rPr>
          <w:rFonts w:ascii="宋体" w:hAnsi="宋体"/>
          <w:color w:val="auto"/>
          <w:szCs w:val="21"/>
        </w:rPr>
      </w:pPr>
      <w:r>
        <w:rPr>
          <w:rFonts w:hint="eastAsia" w:ascii="宋体" w:hAnsi="宋体"/>
          <w:color w:val="auto"/>
          <w:szCs w:val="21"/>
        </w:rPr>
        <w:t>2.3.1乙</w:t>
      </w:r>
      <w:r>
        <w:rPr>
          <w:rFonts w:ascii="宋体" w:hAnsi="宋体"/>
          <w:color w:val="auto"/>
          <w:szCs w:val="21"/>
        </w:rPr>
        <w:t>方应保证</w:t>
      </w:r>
      <w:r>
        <w:rPr>
          <w:rFonts w:hint="eastAsia" w:ascii="宋体" w:hAnsi="宋体"/>
          <w:color w:val="auto"/>
          <w:szCs w:val="21"/>
        </w:rPr>
        <w:t>其提供的服务</w:t>
      </w:r>
      <w:r>
        <w:rPr>
          <w:rFonts w:ascii="宋体" w:hAnsi="宋体"/>
          <w:color w:val="auto"/>
          <w:szCs w:val="21"/>
        </w:rPr>
        <w:t>不受任何第三方提出的侵犯其著作权、商标权、专利权等知识产权方面的起诉</w:t>
      </w:r>
      <w:r>
        <w:rPr>
          <w:rFonts w:hint="eastAsia" w:ascii="宋体" w:hAnsi="宋体"/>
          <w:color w:val="auto"/>
          <w:szCs w:val="21"/>
        </w:rPr>
        <w:t>；</w:t>
      </w:r>
      <w:r>
        <w:rPr>
          <w:rFonts w:ascii="宋体" w:hAnsi="宋体"/>
          <w:color w:val="auto"/>
          <w:szCs w:val="21"/>
        </w:rPr>
        <w:t>如果任何第三方提出侵权</w:t>
      </w:r>
      <w:r>
        <w:rPr>
          <w:rFonts w:hint="eastAsia" w:ascii="宋体" w:hAnsi="宋体"/>
          <w:color w:val="auto"/>
          <w:szCs w:val="21"/>
        </w:rPr>
        <w:t>指控</w:t>
      </w:r>
      <w:r>
        <w:rPr>
          <w:rFonts w:ascii="宋体" w:hAnsi="宋体"/>
          <w:color w:val="auto"/>
          <w:szCs w:val="21"/>
        </w:rPr>
        <w:t>，那么乙方须与该第三方交涉并承担由此发生的一切责任、费用和赔偿</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2.3.2具有知识产权的计算机软件等货物的知识产权归属，</w:t>
      </w: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28" w:name="_Toc487900354"/>
      <w:bookmarkStart w:id="629" w:name="_Toc259093674"/>
      <w:bookmarkStart w:id="630" w:name="_Ref467379536"/>
      <w:bookmarkStart w:id="631" w:name="_Toc279701245"/>
      <w:bookmarkStart w:id="632" w:name="_Ref467379542"/>
      <w:bookmarkStart w:id="633" w:name="_Ref467378591"/>
      <w:bookmarkStart w:id="634" w:name="_Ref467378541"/>
      <w:bookmarkStart w:id="635" w:name="_Ref467379527"/>
      <w:bookmarkStart w:id="636" w:name="_Toc26182"/>
      <w:bookmarkStart w:id="637" w:name="_Toc19074"/>
      <w:bookmarkStart w:id="638" w:name="_Toc30272"/>
      <w:r>
        <w:rPr>
          <w:rFonts w:hint="eastAsia" w:ascii="宋体" w:hAnsi="宋体"/>
          <w:b/>
          <w:bCs/>
          <w:color w:val="auto"/>
          <w:szCs w:val="21"/>
          <w:lang w:val="zh-CN"/>
        </w:rPr>
        <w:t>2.</w:t>
      </w:r>
      <w:bookmarkEnd w:id="628"/>
      <w:bookmarkEnd w:id="629"/>
      <w:bookmarkEnd w:id="630"/>
      <w:bookmarkEnd w:id="631"/>
      <w:bookmarkEnd w:id="632"/>
      <w:bookmarkEnd w:id="633"/>
      <w:bookmarkEnd w:id="634"/>
      <w:bookmarkEnd w:id="635"/>
      <w:r>
        <w:rPr>
          <w:rFonts w:ascii="宋体" w:hAnsi="宋体"/>
          <w:b/>
          <w:bCs/>
          <w:color w:val="auto"/>
          <w:szCs w:val="21"/>
          <w:lang w:val="zh-CN"/>
        </w:rPr>
        <w:t xml:space="preserve">4 </w:t>
      </w:r>
      <w:r>
        <w:rPr>
          <w:rFonts w:hint="eastAsia" w:ascii="宋体" w:hAnsi="宋体"/>
          <w:b/>
          <w:bCs/>
          <w:color w:val="auto"/>
          <w:szCs w:val="21"/>
          <w:lang w:val="zh-CN"/>
        </w:rPr>
        <w:t>履约检查和问题反馈</w:t>
      </w:r>
      <w:bookmarkEnd w:id="636"/>
      <w:bookmarkEnd w:id="637"/>
      <w:bookmarkEnd w:id="638"/>
    </w:p>
    <w:p>
      <w:pPr>
        <w:spacing w:line="360" w:lineRule="auto"/>
        <w:ind w:firstLine="435"/>
        <w:rPr>
          <w:rFonts w:ascii="宋体" w:hAnsi="宋体"/>
          <w:color w:val="auto"/>
          <w:szCs w:val="21"/>
        </w:rPr>
      </w:pPr>
      <w:bookmarkStart w:id="639" w:name="_Toc186431854"/>
      <w:bookmarkStart w:id="640" w:name="_Toc487900357"/>
      <w:bookmarkStart w:id="641" w:name="_Ref467379807"/>
      <w:bookmarkStart w:id="642" w:name="_Toc259093676"/>
      <w:bookmarkStart w:id="643" w:name="_Toc279701247"/>
      <w:bookmarkStart w:id="644" w:name="_Ref467379793"/>
      <w:r>
        <w:rPr>
          <w:rFonts w:hint="eastAsia" w:ascii="宋体" w:hAnsi="宋体"/>
          <w:color w:val="auto"/>
          <w:szCs w:val="21"/>
        </w:rPr>
        <w:t>2.4</w:t>
      </w:r>
      <w:r>
        <w:rPr>
          <w:rFonts w:ascii="宋体" w:hAnsi="宋体"/>
          <w:color w:val="auto"/>
          <w:szCs w:val="21"/>
        </w:rPr>
        <w:t>.1甲方</w:t>
      </w:r>
      <w:r>
        <w:rPr>
          <w:rFonts w:hint="eastAsia" w:ascii="宋体" w:hAnsi="宋体"/>
          <w:color w:val="auto"/>
          <w:szCs w:val="21"/>
        </w:rPr>
        <w:t>有权</w:t>
      </w:r>
      <w:r>
        <w:rPr>
          <w:rFonts w:ascii="宋体" w:hAnsi="宋体"/>
          <w:color w:val="auto"/>
          <w:szCs w:val="21"/>
        </w:rPr>
        <w:t>在其认为必要时</w:t>
      </w:r>
      <w:r>
        <w:rPr>
          <w:rFonts w:hint="eastAsia" w:ascii="宋体" w:hAnsi="宋体"/>
          <w:color w:val="auto"/>
          <w:szCs w:val="21"/>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.2合同履行期间，甲方有权将履行过程中出现的问题反馈给乙方，双方当事人应以书面形式约定需要完善和改进的内容</w:t>
      </w:r>
      <w:bookmarkEnd w:id="639"/>
      <w:bookmarkStart w:id="645" w:name="_Toc186431855"/>
      <w:r>
        <w:rPr>
          <w:rFonts w:hint="eastAsia" w:ascii="宋体" w:hAnsi="宋体"/>
          <w:color w:val="auto"/>
          <w:szCs w:val="21"/>
        </w:rPr>
        <w:t>。</w:t>
      </w:r>
    </w:p>
    <w:bookmarkEnd w:id="645"/>
    <w:p>
      <w:pPr>
        <w:spacing w:line="360" w:lineRule="auto"/>
        <w:ind w:firstLine="437"/>
        <w:outlineLvl w:val="3"/>
        <w:rPr>
          <w:rFonts w:ascii="宋体" w:hAnsi="宋体"/>
          <w:b/>
          <w:bCs/>
          <w:color w:val="auto"/>
          <w:szCs w:val="21"/>
          <w:lang w:val="zh-CN"/>
        </w:rPr>
      </w:pPr>
      <w:bookmarkStart w:id="646" w:name="_Toc28451"/>
      <w:bookmarkStart w:id="647" w:name="_Toc19219"/>
      <w:bookmarkStart w:id="648" w:name="_Toc7836"/>
      <w:r>
        <w:rPr>
          <w:rFonts w:hint="eastAsia" w:ascii="宋体" w:hAnsi="宋体"/>
          <w:b/>
          <w:bCs/>
          <w:color w:val="auto"/>
          <w:szCs w:val="21"/>
          <w:lang w:val="zh-CN"/>
        </w:rPr>
        <w:t>2.</w:t>
      </w:r>
      <w:r>
        <w:rPr>
          <w:rFonts w:ascii="宋体" w:hAnsi="宋体"/>
          <w:b/>
          <w:bCs/>
          <w:color w:val="auto"/>
          <w:szCs w:val="21"/>
          <w:lang w:val="zh-CN"/>
        </w:rPr>
        <w:t>5</w:t>
      </w:r>
      <w:r>
        <w:rPr>
          <w:rFonts w:hint="eastAsia" w:ascii="宋体" w:hAnsi="宋体"/>
          <w:b/>
          <w:bCs/>
          <w:color w:val="auto"/>
          <w:szCs w:val="21"/>
          <w:lang w:val="zh-CN"/>
        </w:rPr>
        <w:t xml:space="preserve"> </w:t>
      </w:r>
      <w:r>
        <w:rPr>
          <w:rFonts w:ascii="宋体" w:hAnsi="宋体"/>
          <w:b/>
          <w:bCs/>
          <w:color w:val="auto"/>
          <w:szCs w:val="21"/>
          <w:lang w:val="zh-CN"/>
        </w:rPr>
        <w:t>结算方式和付款条件</w:t>
      </w:r>
      <w:bookmarkEnd w:id="640"/>
      <w:bookmarkEnd w:id="641"/>
      <w:bookmarkEnd w:id="642"/>
      <w:bookmarkEnd w:id="643"/>
      <w:bookmarkEnd w:id="644"/>
      <w:bookmarkEnd w:id="646"/>
      <w:bookmarkEnd w:id="647"/>
      <w:bookmarkEnd w:id="648"/>
    </w:p>
    <w:p>
      <w:pPr>
        <w:spacing w:line="360" w:lineRule="auto"/>
        <w:ind w:firstLine="435"/>
        <w:rPr>
          <w:rFonts w:ascii="宋体" w:hAnsi="宋体"/>
          <w:color w:val="auto"/>
          <w:szCs w:val="21"/>
        </w:rPr>
      </w:pPr>
      <w:r>
        <w:rPr>
          <w:rFonts w:ascii="宋体" w:hAnsi="宋体"/>
          <w:color w:val="auto"/>
          <w:szCs w:val="21"/>
        </w:rPr>
        <w:t>详见</w:t>
      </w:r>
      <w:r>
        <w:rPr>
          <w:rFonts w:ascii="宋体" w:hAnsi="宋体"/>
          <w:b/>
          <w:i/>
          <w:color w:val="auto"/>
          <w:szCs w:val="21"/>
          <w:u w:val="single"/>
        </w:rPr>
        <w:t>合同专用条款</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49" w:name="_Toc279701248"/>
      <w:bookmarkStart w:id="650" w:name="_Ref467379923"/>
      <w:bookmarkStart w:id="651" w:name="_Ref467379852"/>
      <w:bookmarkStart w:id="652" w:name="_Toc487900358"/>
      <w:bookmarkStart w:id="653" w:name="_Toc259093677"/>
      <w:bookmarkStart w:id="654" w:name="_Ref467379863"/>
      <w:bookmarkStart w:id="655" w:name="_Toc16110"/>
      <w:bookmarkStart w:id="656" w:name="_Toc3225"/>
      <w:bookmarkStart w:id="657" w:name="_Toc774"/>
      <w:r>
        <w:rPr>
          <w:rFonts w:hint="eastAsia" w:ascii="宋体" w:hAnsi="宋体"/>
          <w:b/>
          <w:bCs/>
          <w:color w:val="auto"/>
          <w:szCs w:val="21"/>
          <w:lang w:val="zh-CN"/>
        </w:rPr>
        <w:t>2.</w:t>
      </w:r>
      <w:r>
        <w:rPr>
          <w:rFonts w:ascii="宋体" w:hAnsi="宋体"/>
          <w:b/>
          <w:bCs/>
          <w:color w:val="auto"/>
          <w:szCs w:val="21"/>
          <w:lang w:val="zh-CN"/>
        </w:rPr>
        <w:t>6</w:t>
      </w:r>
      <w:r>
        <w:rPr>
          <w:rFonts w:hint="eastAsia" w:ascii="宋体" w:hAnsi="宋体"/>
          <w:b/>
          <w:bCs/>
          <w:color w:val="auto"/>
          <w:szCs w:val="21"/>
          <w:lang w:val="zh-CN"/>
        </w:rPr>
        <w:t xml:space="preserve"> </w:t>
      </w:r>
      <w:r>
        <w:rPr>
          <w:rFonts w:ascii="宋体" w:hAnsi="宋体"/>
          <w:b/>
          <w:bCs/>
          <w:color w:val="auto"/>
          <w:szCs w:val="21"/>
          <w:lang w:val="zh-CN"/>
        </w:rPr>
        <w:t>技术资料</w:t>
      </w:r>
      <w:bookmarkEnd w:id="649"/>
      <w:bookmarkEnd w:id="650"/>
      <w:bookmarkEnd w:id="651"/>
      <w:bookmarkEnd w:id="652"/>
      <w:bookmarkEnd w:id="653"/>
      <w:bookmarkEnd w:id="654"/>
      <w:r>
        <w:rPr>
          <w:rFonts w:ascii="宋体" w:hAnsi="宋体"/>
          <w:b/>
          <w:bCs/>
          <w:color w:val="auto"/>
          <w:szCs w:val="21"/>
          <w:lang w:val="zh-CN"/>
        </w:rPr>
        <w:t>和保密义务</w:t>
      </w:r>
      <w:bookmarkEnd w:id="655"/>
      <w:bookmarkEnd w:id="656"/>
      <w:bookmarkEnd w:id="657"/>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6.1</w:t>
      </w:r>
      <w:r>
        <w:rPr>
          <w:rFonts w:hint="eastAsia" w:ascii="宋体" w:hAnsi="宋体"/>
          <w:color w:val="auto"/>
          <w:szCs w:val="21"/>
        </w:rPr>
        <w:t>乙方有权依据合同约定和项目需要，向甲方了解有关情况，调阅有关资料等，甲方应予积极配合；</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.2乙方有义务妥善保管和保护由甲方提供的前款信息和资料等；</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6.</w:t>
      </w:r>
      <w:r>
        <w:rPr>
          <w:rFonts w:hint="eastAsia" w:ascii="宋体" w:hAnsi="宋体"/>
          <w:color w:val="auto"/>
          <w:szCs w:val="21"/>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rPr>
        <w:t>技术情报</w:t>
      </w:r>
      <w:r>
        <w:rPr>
          <w:rFonts w:hint="eastAsia" w:ascii="宋体" w:hAnsi="宋体"/>
          <w:color w:val="auto"/>
          <w:szCs w:val="21"/>
        </w:rPr>
        <w:t>、</w:t>
      </w:r>
      <w:r>
        <w:rPr>
          <w:rFonts w:ascii="宋体" w:hAnsi="宋体"/>
          <w:color w:val="auto"/>
          <w:szCs w:val="21"/>
        </w:rPr>
        <w:t>技术资料</w:t>
      </w:r>
      <w:r>
        <w:rPr>
          <w:rFonts w:hint="eastAsia" w:ascii="宋体" w:hAnsi="宋体"/>
          <w:color w:val="auto"/>
          <w:szCs w:val="21"/>
        </w:rPr>
        <w:t>、商业秘密和商业信息等，并采取一切合理和必要措施和方式防止任何第三方接触到对方当事人的上述保密信息和资料。</w:t>
      </w:r>
    </w:p>
    <w:p>
      <w:pPr>
        <w:spacing w:line="360" w:lineRule="auto"/>
        <w:ind w:firstLine="437"/>
        <w:outlineLvl w:val="3"/>
        <w:rPr>
          <w:rFonts w:ascii="宋体" w:hAnsi="宋体"/>
          <w:b/>
          <w:bCs/>
          <w:color w:val="auto"/>
          <w:szCs w:val="21"/>
          <w:lang w:val="zh-CN"/>
        </w:rPr>
      </w:pPr>
      <w:bookmarkStart w:id="658" w:name="_Toc7860"/>
      <w:r>
        <w:rPr>
          <w:rFonts w:ascii="宋体" w:hAnsi="宋体"/>
          <w:b/>
          <w:bCs/>
          <w:color w:val="auto"/>
          <w:szCs w:val="21"/>
          <w:lang w:val="zh-CN"/>
        </w:rPr>
        <w:t>2.7 质量保证</w:t>
      </w:r>
      <w:bookmarkEnd w:id="658"/>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.1乙方应建立和完善履行合同的内部质量保证体系，并提供相关内部规章制度给甲方，以便甲方进行监督检查；</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7</w:t>
      </w:r>
      <w:r>
        <w:rPr>
          <w:rFonts w:hint="eastAsia" w:ascii="宋体" w:hAnsi="宋体"/>
          <w:color w:val="auto"/>
          <w:szCs w:val="21"/>
        </w:rPr>
        <w:t>.2乙方应保证履行合同的人员数量和素质、软件和硬件设备的配置、场地、环境和设施等满足全面履行合同的要求，并应接受甲方的监督检查。</w:t>
      </w:r>
    </w:p>
    <w:p>
      <w:pPr>
        <w:spacing w:line="360" w:lineRule="auto"/>
        <w:ind w:firstLine="437"/>
        <w:outlineLvl w:val="3"/>
        <w:rPr>
          <w:rFonts w:ascii="宋体" w:hAnsi="宋体"/>
          <w:b/>
          <w:color w:val="auto"/>
          <w:szCs w:val="21"/>
        </w:rPr>
      </w:pPr>
      <w:bookmarkStart w:id="659" w:name="_Toc22267"/>
      <w:r>
        <w:rPr>
          <w:rFonts w:hint="eastAsia" w:ascii="宋体" w:hAnsi="宋体"/>
          <w:b/>
          <w:color w:val="auto"/>
          <w:szCs w:val="21"/>
        </w:rPr>
        <w:t>2.8 延迟履行</w:t>
      </w:r>
      <w:bookmarkEnd w:id="659"/>
    </w:p>
    <w:p>
      <w:pPr>
        <w:spacing w:line="360" w:lineRule="auto"/>
        <w:ind w:firstLine="435"/>
        <w:rPr>
          <w:rFonts w:ascii="宋体" w:hAnsi="宋体"/>
          <w:color w:val="auto"/>
          <w:szCs w:val="21"/>
        </w:rPr>
      </w:pPr>
      <w:r>
        <w:rPr>
          <w:rFonts w:ascii="宋体" w:hAnsi="宋体"/>
          <w:color w:val="auto"/>
          <w:szCs w:val="21"/>
        </w:rPr>
        <w:t>在合同履行过程中，如果乙方遇到不能按时</w:t>
      </w:r>
      <w:r>
        <w:rPr>
          <w:rFonts w:hint="eastAsia" w:ascii="宋体" w:hAnsi="宋体"/>
          <w:color w:val="auto"/>
          <w:szCs w:val="21"/>
        </w:rPr>
        <w:t>提供服务</w:t>
      </w:r>
      <w:r>
        <w:rPr>
          <w:rFonts w:ascii="宋体" w:hAnsi="宋体"/>
          <w:color w:val="auto"/>
          <w:szCs w:val="21"/>
        </w:rPr>
        <w:t>的情况，应及时以书面形式将不能按时</w:t>
      </w:r>
      <w:r>
        <w:rPr>
          <w:rFonts w:hint="eastAsia" w:ascii="宋体" w:hAnsi="宋体"/>
          <w:color w:val="auto"/>
          <w:szCs w:val="21"/>
        </w:rPr>
        <w:t>提供服务</w:t>
      </w:r>
      <w:r>
        <w:rPr>
          <w:rFonts w:ascii="宋体" w:hAnsi="宋体"/>
          <w:color w:val="auto"/>
          <w:szCs w:val="21"/>
        </w:rPr>
        <w:t>的理由、预期延误时间通知甲方</w:t>
      </w:r>
      <w:r>
        <w:rPr>
          <w:rFonts w:hint="eastAsia" w:ascii="宋体" w:hAnsi="宋体"/>
          <w:color w:val="auto"/>
          <w:szCs w:val="21"/>
        </w:rPr>
        <w:t>；甲</w:t>
      </w:r>
      <w:r>
        <w:rPr>
          <w:rFonts w:ascii="宋体" w:hAnsi="宋体"/>
          <w:color w:val="auto"/>
          <w:szCs w:val="21"/>
        </w:rPr>
        <w:t>方收到乙方通知后，认为其理由正当的，可以书面形式酌情同意乙方可以延长</w:t>
      </w:r>
      <w:r>
        <w:rPr>
          <w:rFonts w:hint="eastAsia" w:ascii="宋体" w:hAnsi="宋体"/>
          <w:color w:val="auto"/>
          <w:szCs w:val="21"/>
        </w:rPr>
        <w:t>履行</w:t>
      </w:r>
      <w:r>
        <w:rPr>
          <w:rFonts w:ascii="宋体" w:hAnsi="宋体"/>
          <w:color w:val="auto"/>
          <w:szCs w:val="21"/>
        </w:rPr>
        <w:t>的具体时间。</w:t>
      </w:r>
    </w:p>
    <w:p>
      <w:pPr>
        <w:spacing w:line="360" w:lineRule="auto"/>
        <w:ind w:firstLine="437"/>
        <w:outlineLvl w:val="3"/>
        <w:rPr>
          <w:rFonts w:ascii="宋体" w:hAnsi="宋体"/>
          <w:b/>
          <w:bCs/>
          <w:color w:val="auto"/>
          <w:szCs w:val="21"/>
          <w:lang w:val="zh-CN"/>
        </w:rPr>
      </w:pPr>
      <w:bookmarkStart w:id="660" w:name="_Toc7502"/>
      <w:bookmarkStart w:id="661" w:name="_Toc279701254"/>
      <w:bookmarkStart w:id="662" w:name="_Toc487900364"/>
      <w:bookmarkStart w:id="663" w:name="_Toc259093683"/>
      <w:bookmarkStart w:id="664" w:name="_Ref467378121"/>
      <w:r>
        <w:rPr>
          <w:rFonts w:ascii="宋体" w:hAnsi="宋体"/>
          <w:b/>
          <w:bCs/>
          <w:color w:val="auto"/>
          <w:szCs w:val="21"/>
          <w:lang w:val="zh-CN"/>
        </w:rPr>
        <w:t>2.9 合同变更</w:t>
      </w:r>
      <w:bookmarkEnd w:id="660"/>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.1双方当事人协商一致，可以签订书面补充合同的形式变更合同，但不得违背采购文件确定的事项；</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9</w:t>
      </w:r>
      <w:r>
        <w:rPr>
          <w:rFonts w:hint="eastAsia" w:ascii="宋体" w:hAnsi="宋体"/>
          <w:color w:val="auto"/>
          <w:szCs w:val="21"/>
        </w:rPr>
        <w:t>.2合同继续履行将损害国家利益和社会公共利益的，双方当事人应当以书面形式变更合同。有过错的一方应当承担赔偿责任，双方当事人都有过错的，各自承担相应的责任。</w:t>
      </w:r>
      <w:bookmarkStart w:id="665" w:name="_Toc487900369"/>
      <w:bookmarkStart w:id="666" w:name="_Toc259093688"/>
      <w:bookmarkStart w:id="667" w:name="_Toc279701259"/>
    </w:p>
    <w:p>
      <w:pPr>
        <w:spacing w:line="360" w:lineRule="auto"/>
        <w:ind w:firstLine="437"/>
        <w:outlineLvl w:val="3"/>
        <w:rPr>
          <w:rFonts w:ascii="宋体" w:hAnsi="宋体"/>
          <w:b/>
          <w:bCs/>
          <w:color w:val="auto"/>
          <w:szCs w:val="21"/>
          <w:lang w:val="zh-CN"/>
        </w:rPr>
      </w:pPr>
      <w:bookmarkStart w:id="668" w:name="_Toc10366"/>
      <w:bookmarkStart w:id="669" w:name="_Toc22955"/>
      <w:bookmarkStart w:id="670" w:name="_Toc15237"/>
      <w:r>
        <w:rPr>
          <w:rFonts w:hint="eastAsia" w:ascii="宋体" w:hAnsi="宋体"/>
          <w:b/>
          <w:bCs/>
          <w:color w:val="auto"/>
          <w:szCs w:val="21"/>
          <w:lang w:val="zh-CN"/>
        </w:rPr>
        <w:t>2.1</w:t>
      </w:r>
      <w:r>
        <w:rPr>
          <w:rFonts w:ascii="宋体" w:hAnsi="宋体"/>
          <w:b/>
          <w:bCs/>
          <w:color w:val="auto"/>
          <w:szCs w:val="21"/>
          <w:lang w:val="zh-CN"/>
        </w:rPr>
        <w:t>0</w:t>
      </w:r>
      <w:r>
        <w:rPr>
          <w:rFonts w:hint="eastAsia" w:ascii="宋体" w:hAnsi="宋体"/>
          <w:b/>
          <w:bCs/>
          <w:color w:val="auto"/>
          <w:szCs w:val="21"/>
          <w:lang w:val="zh-CN"/>
        </w:rPr>
        <w:t xml:space="preserve"> </w:t>
      </w:r>
      <w:r>
        <w:rPr>
          <w:rFonts w:ascii="宋体" w:hAnsi="宋体"/>
          <w:b/>
          <w:bCs/>
          <w:color w:val="auto"/>
          <w:szCs w:val="21"/>
          <w:lang w:val="zh-CN"/>
        </w:rPr>
        <w:t>合同转让</w:t>
      </w:r>
      <w:bookmarkEnd w:id="665"/>
      <w:bookmarkEnd w:id="666"/>
      <w:bookmarkEnd w:id="667"/>
      <w:r>
        <w:rPr>
          <w:rFonts w:ascii="宋体" w:hAnsi="宋体"/>
          <w:b/>
          <w:bCs/>
          <w:color w:val="auto"/>
          <w:szCs w:val="21"/>
          <w:lang w:val="zh-CN"/>
        </w:rPr>
        <w:t>和分包</w:t>
      </w:r>
      <w:bookmarkEnd w:id="668"/>
      <w:bookmarkEnd w:id="669"/>
      <w:bookmarkEnd w:id="670"/>
    </w:p>
    <w:p>
      <w:pPr>
        <w:spacing w:line="360" w:lineRule="auto"/>
        <w:ind w:firstLine="435"/>
        <w:rPr>
          <w:rFonts w:ascii="宋体" w:hAnsi="宋体"/>
          <w:color w:val="auto"/>
          <w:szCs w:val="21"/>
        </w:rPr>
      </w:pPr>
      <w:r>
        <w:rPr>
          <w:rFonts w:ascii="宋体" w:hAnsi="宋体"/>
          <w:color w:val="auto"/>
          <w:szCs w:val="21"/>
        </w:rPr>
        <w:t>合同的权利义务依法不</w:t>
      </w:r>
      <w:r>
        <w:rPr>
          <w:rFonts w:hint="eastAsia" w:ascii="宋体" w:hAnsi="宋体"/>
          <w:color w:val="auto"/>
          <w:szCs w:val="21"/>
        </w:rPr>
        <w:t>得</w:t>
      </w:r>
      <w:r>
        <w:rPr>
          <w:rFonts w:ascii="宋体" w:hAnsi="宋体"/>
          <w:color w:val="auto"/>
          <w:szCs w:val="21"/>
        </w:rPr>
        <w:t>转让</w:t>
      </w:r>
      <w:r>
        <w:rPr>
          <w:rFonts w:hint="eastAsia" w:ascii="宋体" w:hAnsi="宋体"/>
          <w:color w:val="auto"/>
          <w:szCs w:val="21"/>
        </w:rPr>
        <w:t>，</w:t>
      </w:r>
      <w:r>
        <w:rPr>
          <w:rFonts w:ascii="宋体" w:hAnsi="宋体"/>
          <w:color w:val="auto"/>
          <w:szCs w:val="21"/>
        </w:rPr>
        <w:t>但经甲方</w:t>
      </w:r>
      <w:r>
        <w:rPr>
          <w:rFonts w:hint="eastAsia" w:ascii="宋体" w:hAnsi="宋体"/>
          <w:color w:val="auto"/>
          <w:szCs w:val="21"/>
        </w:rPr>
        <w:t>同意，乙方可以依法采取分包方式履行合同，即：依法可以</w:t>
      </w:r>
      <w:r>
        <w:rPr>
          <w:rFonts w:ascii="宋体" w:hAnsi="宋体"/>
          <w:color w:val="auto"/>
          <w:szCs w:val="21"/>
        </w:rPr>
        <w:t>将合同项下的部分非主体、非关键性工作分包给他人完成</w:t>
      </w:r>
      <w:r>
        <w:rPr>
          <w:rFonts w:hint="eastAsia" w:ascii="宋体" w:hAnsi="宋体"/>
          <w:color w:val="auto"/>
          <w:szCs w:val="21"/>
        </w:rPr>
        <w:t>，</w:t>
      </w:r>
      <w:r>
        <w:rPr>
          <w:rFonts w:ascii="宋体" w:hAnsi="宋体"/>
          <w:color w:val="auto"/>
          <w:szCs w:val="21"/>
        </w:rPr>
        <w:t>接受分包的人应当具备相应的资格条件，并不得再次分包</w:t>
      </w:r>
      <w:r>
        <w:rPr>
          <w:rFonts w:hint="eastAsia" w:ascii="宋体" w:hAnsi="宋体"/>
          <w:color w:val="auto"/>
          <w:szCs w:val="21"/>
        </w:rPr>
        <w:t>，</w:t>
      </w:r>
      <w:r>
        <w:rPr>
          <w:rFonts w:ascii="宋体" w:hAnsi="宋体"/>
          <w:color w:val="auto"/>
          <w:szCs w:val="21"/>
        </w:rPr>
        <w:t>且乙方应就分包项目向甲方负责</w:t>
      </w:r>
      <w:r>
        <w:rPr>
          <w:rFonts w:hint="eastAsia" w:ascii="宋体" w:hAnsi="宋体"/>
          <w:color w:val="auto"/>
          <w:szCs w:val="21"/>
        </w:rPr>
        <w:t>，</w:t>
      </w:r>
      <w:r>
        <w:rPr>
          <w:rFonts w:ascii="宋体" w:hAnsi="宋体"/>
          <w:color w:val="auto"/>
          <w:szCs w:val="21"/>
        </w:rPr>
        <w:t>并</w:t>
      </w:r>
      <w:r>
        <w:rPr>
          <w:rFonts w:hint="eastAsia" w:ascii="宋体" w:hAnsi="宋体"/>
          <w:color w:val="auto"/>
          <w:szCs w:val="21"/>
        </w:rPr>
        <w:t>与分包供应商就分包项目向甲方承担连带责任。</w:t>
      </w:r>
    </w:p>
    <w:p>
      <w:pPr>
        <w:spacing w:line="360" w:lineRule="auto"/>
        <w:ind w:firstLine="437"/>
        <w:outlineLvl w:val="3"/>
        <w:rPr>
          <w:rFonts w:ascii="宋体" w:hAnsi="宋体"/>
          <w:b/>
          <w:bCs/>
          <w:color w:val="auto"/>
          <w:szCs w:val="21"/>
          <w:lang w:val="zh-CN"/>
        </w:rPr>
      </w:pPr>
      <w:bookmarkStart w:id="671" w:name="_Toc16508"/>
      <w:bookmarkStart w:id="672" w:name="_Toc13566"/>
      <w:bookmarkStart w:id="673" w:name="_Toc14066"/>
      <w:r>
        <w:rPr>
          <w:rFonts w:hint="eastAsia" w:ascii="宋体" w:hAnsi="宋体"/>
          <w:b/>
          <w:bCs/>
          <w:color w:val="auto"/>
          <w:szCs w:val="21"/>
          <w:lang w:val="zh-CN"/>
        </w:rPr>
        <w:t>2.1</w:t>
      </w:r>
      <w:r>
        <w:rPr>
          <w:rFonts w:ascii="宋体" w:hAnsi="宋体"/>
          <w:b/>
          <w:bCs/>
          <w:color w:val="auto"/>
          <w:szCs w:val="21"/>
          <w:lang w:val="zh-CN"/>
        </w:rPr>
        <w:t>1 不可抗力</w:t>
      </w:r>
      <w:bookmarkEnd w:id="671"/>
      <w:bookmarkEnd w:id="672"/>
      <w:bookmarkEnd w:id="673"/>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1.1如果任何一方遭遇法律规定的不可抗力，致使合同履行受阻时，履行合同的期限应予延长，延长的期限应相当于不可抗力所影响的时间</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.2因不可抗力致使不能实现合同目的的，当事人可以解除合同；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.3因</w:t>
      </w:r>
      <w:r>
        <w:rPr>
          <w:rFonts w:ascii="宋体" w:hAnsi="宋体"/>
          <w:color w:val="auto"/>
          <w:szCs w:val="21"/>
        </w:rPr>
        <w:t>不可抗力致使合同有变更必要的，双方当事人应在</w:t>
      </w:r>
      <w:r>
        <w:rPr>
          <w:rFonts w:ascii="宋体" w:hAnsi="宋体"/>
          <w:b/>
          <w:i/>
          <w:color w:val="auto"/>
          <w:szCs w:val="21"/>
          <w:u w:val="single"/>
        </w:rPr>
        <w:t>合同专用条款</w:t>
      </w:r>
      <w:r>
        <w:rPr>
          <w:rFonts w:ascii="宋体" w:hAnsi="宋体"/>
          <w:color w:val="auto"/>
          <w:szCs w:val="21"/>
        </w:rPr>
        <w:t>约定时间内以书面形式变更合同</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olor w:val="auto"/>
          <w:szCs w:val="21"/>
        </w:rPr>
        <w:t>4</w:t>
      </w:r>
      <w:r>
        <w:rPr>
          <w:rFonts w:ascii="宋体" w:hAnsi="宋体"/>
          <w:color w:val="auto"/>
          <w:szCs w:val="21"/>
        </w:rPr>
        <w:t>受</w:t>
      </w:r>
      <w:r>
        <w:rPr>
          <w:rFonts w:hint="eastAsia" w:ascii="宋体" w:hAnsi="宋体"/>
          <w:color w:val="auto"/>
          <w:szCs w:val="21"/>
        </w:rPr>
        <w:t>不可抗力</w:t>
      </w:r>
      <w:r>
        <w:rPr>
          <w:rFonts w:ascii="宋体" w:hAnsi="宋体"/>
          <w:color w:val="auto"/>
          <w:szCs w:val="21"/>
        </w:rPr>
        <w:t>影响的一方在不可抗力发生后</w:t>
      </w:r>
      <w:r>
        <w:rPr>
          <w:rFonts w:hint="eastAsia" w:ascii="宋体" w:hAnsi="宋体"/>
          <w:color w:val="auto"/>
          <w:szCs w:val="21"/>
        </w:rPr>
        <w:t>，</w:t>
      </w:r>
      <w:r>
        <w:rPr>
          <w:rFonts w:ascii="宋体" w:hAnsi="宋体"/>
          <w:color w:val="auto"/>
          <w:szCs w:val="21"/>
        </w:rPr>
        <w:t>应在</w:t>
      </w:r>
      <w:r>
        <w:rPr>
          <w:rFonts w:ascii="宋体" w:hAnsi="宋体"/>
          <w:b/>
          <w:i/>
          <w:color w:val="auto"/>
          <w:szCs w:val="21"/>
          <w:u w:val="single"/>
        </w:rPr>
        <w:t>合同专用条款</w:t>
      </w:r>
      <w:r>
        <w:rPr>
          <w:rFonts w:ascii="宋体" w:hAnsi="宋体"/>
          <w:color w:val="auto"/>
          <w:szCs w:val="21"/>
        </w:rPr>
        <w:t>约定时间内以书面形式通知</w:t>
      </w:r>
      <w:r>
        <w:rPr>
          <w:rFonts w:hint="eastAsia" w:ascii="宋体" w:hAnsi="宋体"/>
          <w:color w:val="auto"/>
          <w:szCs w:val="21"/>
        </w:rPr>
        <w:t>对</w:t>
      </w:r>
      <w:r>
        <w:rPr>
          <w:rFonts w:ascii="宋体" w:hAnsi="宋体"/>
          <w:color w:val="auto"/>
          <w:szCs w:val="21"/>
        </w:rPr>
        <w:t>方当事人，并在</w:t>
      </w:r>
      <w:r>
        <w:rPr>
          <w:rFonts w:ascii="宋体" w:hAnsi="宋体"/>
          <w:b/>
          <w:i/>
          <w:color w:val="auto"/>
          <w:szCs w:val="21"/>
          <w:u w:val="single"/>
        </w:rPr>
        <w:t>合同专用条款</w:t>
      </w:r>
      <w:r>
        <w:rPr>
          <w:rFonts w:ascii="宋体" w:hAnsi="宋体"/>
          <w:color w:val="auto"/>
          <w:szCs w:val="21"/>
        </w:rPr>
        <w:t>约定时间内，将有关部门出具的证明文件送达</w:t>
      </w:r>
      <w:r>
        <w:rPr>
          <w:rFonts w:hint="eastAsia" w:ascii="宋体" w:hAnsi="宋体"/>
          <w:color w:val="auto"/>
          <w:szCs w:val="21"/>
        </w:rPr>
        <w:t>对方当事人</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74" w:name="_Toc259093684"/>
      <w:bookmarkStart w:id="675" w:name="_Toc30676"/>
      <w:bookmarkStart w:id="676" w:name="_Toc689"/>
      <w:bookmarkStart w:id="677" w:name="_Toc6969"/>
      <w:bookmarkStart w:id="678" w:name="_Toc487900365"/>
      <w:bookmarkStart w:id="679" w:name="_Toc279701255"/>
      <w:r>
        <w:rPr>
          <w:rFonts w:hint="eastAsia" w:ascii="宋体" w:hAnsi="宋体"/>
          <w:b/>
          <w:bCs/>
          <w:color w:val="auto"/>
          <w:szCs w:val="21"/>
          <w:lang w:val="zh-CN"/>
        </w:rPr>
        <w:t>2.</w:t>
      </w:r>
      <w:r>
        <w:rPr>
          <w:rFonts w:ascii="宋体" w:hAnsi="宋体"/>
          <w:b/>
          <w:bCs/>
          <w:color w:val="auto"/>
          <w:szCs w:val="21"/>
          <w:lang w:val="zh-CN"/>
        </w:rPr>
        <w:t>12</w:t>
      </w:r>
      <w:r>
        <w:rPr>
          <w:rFonts w:hint="eastAsia" w:ascii="宋体" w:hAnsi="宋体"/>
          <w:b/>
          <w:bCs/>
          <w:color w:val="auto"/>
          <w:szCs w:val="21"/>
          <w:lang w:val="zh-CN"/>
        </w:rPr>
        <w:t xml:space="preserve"> </w:t>
      </w:r>
      <w:r>
        <w:rPr>
          <w:rFonts w:ascii="宋体" w:hAnsi="宋体"/>
          <w:b/>
          <w:bCs/>
          <w:color w:val="auto"/>
          <w:szCs w:val="21"/>
          <w:lang w:val="zh-CN"/>
        </w:rPr>
        <w:t>税费</w:t>
      </w:r>
      <w:bookmarkEnd w:id="674"/>
      <w:bookmarkEnd w:id="675"/>
      <w:bookmarkEnd w:id="676"/>
      <w:bookmarkEnd w:id="677"/>
      <w:bookmarkEnd w:id="678"/>
      <w:bookmarkEnd w:id="679"/>
    </w:p>
    <w:p>
      <w:pPr>
        <w:spacing w:line="360" w:lineRule="auto"/>
        <w:ind w:firstLine="435"/>
        <w:rPr>
          <w:rFonts w:ascii="宋体" w:hAnsi="宋体"/>
          <w:color w:val="auto"/>
          <w:szCs w:val="21"/>
        </w:rPr>
      </w:pPr>
      <w:r>
        <w:rPr>
          <w:rFonts w:ascii="宋体" w:hAnsi="宋体"/>
          <w:color w:val="auto"/>
          <w:szCs w:val="21"/>
        </w:rPr>
        <w:t>与合同有关的一切税费</w:t>
      </w:r>
      <w:r>
        <w:rPr>
          <w:rFonts w:hint="eastAsia" w:ascii="宋体" w:hAnsi="宋体"/>
          <w:color w:val="auto"/>
          <w:szCs w:val="21"/>
        </w:rPr>
        <w:t>，</w:t>
      </w:r>
      <w:r>
        <w:rPr>
          <w:rFonts w:ascii="宋体" w:hAnsi="宋体"/>
          <w:color w:val="auto"/>
          <w:szCs w:val="21"/>
        </w:rPr>
        <w:t>均按照中华人民共和国法律的相关规定</w:t>
      </w:r>
      <w:r>
        <w:rPr>
          <w:rFonts w:hint="eastAsia" w:ascii="宋体" w:hAnsi="宋体"/>
          <w:color w:val="auto"/>
          <w:szCs w:val="21"/>
        </w:rPr>
        <w:t>缴纳</w:t>
      </w:r>
      <w:r>
        <w:rPr>
          <w:rFonts w:ascii="宋体" w:hAnsi="宋体"/>
          <w:color w:val="auto"/>
          <w:szCs w:val="21"/>
        </w:rPr>
        <w:t>。</w:t>
      </w:r>
    </w:p>
    <w:p>
      <w:pPr>
        <w:spacing w:line="360" w:lineRule="auto"/>
        <w:ind w:firstLine="437"/>
        <w:outlineLvl w:val="3"/>
        <w:rPr>
          <w:rFonts w:ascii="宋体" w:hAnsi="宋体"/>
          <w:b/>
          <w:bCs/>
          <w:color w:val="auto"/>
          <w:szCs w:val="21"/>
          <w:lang w:val="zh-CN"/>
        </w:rPr>
      </w:pPr>
      <w:bookmarkStart w:id="680" w:name="_Toc487900368"/>
      <w:bookmarkStart w:id="681" w:name="_Toc7102"/>
      <w:bookmarkStart w:id="682" w:name="_Toc259093687"/>
      <w:bookmarkStart w:id="683" w:name="_Toc8298"/>
      <w:bookmarkStart w:id="684" w:name="_Toc16959"/>
      <w:bookmarkStart w:id="685" w:name="_Toc279701258"/>
      <w:r>
        <w:rPr>
          <w:rFonts w:hint="eastAsia" w:ascii="宋体" w:hAnsi="宋体"/>
          <w:b/>
          <w:bCs/>
          <w:color w:val="auto"/>
          <w:szCs w:val="21"/>
          <w:lang w:val="zh-CN"/>
        </w:rPr>
        <w:t>2.</w:t>
      </w:r>
      <w:r>
        <w:rPr>
          <w:rFonts w:ascii="宋体" w:hAnsi="宋体"/>
          <w:b/>
          <w:bCs/>
          <w:color w:val="auto"/>
          <w:szCs w:val="21"/>
          <w:lang w:val="zh-CN"/>
        </w:rPr>
        <w:t>13</w:t>
      </w:r>
      <w:r>
        <w:rPr>
          <w:rFonts w:hint="eastAsia" w:ascii="宋体" w:hAnsi="宋体"/>
          <w:b/>
          <w:bCs/>
          <w:color w:val="auto"/>
          <w:szCs w:val="21"/>
          <w:lang w:val="zh-CN"/>
        </w:rPr>
        <w:t xml:space="preserve"> </w:t>
      </w:r>
      <w:r>
        <w:rPr>
          <w:rFonts w:ascii="宋体" w:hAnsi="宋体"/>
          <w:b/>
          <w:bCs/>
          <w:color w:val="auto"/>
          <w:szCs w:val="21"/>
          <w:lang w:val="zh-CN"/>
        </w:rPr>
        <w:t>乙方破产</w:t>
      </w:r>
      <w:bookmarkEnd w:id="680"/>
      <w:bookmarkEnd w:id="681"/>
      <w:bookmarkEnd w:id="682"/>
      <w:bookmarkEnd w:id="683"/>
      <w:bookmarkEnd w:id="684"/>
      <w:bookmarkEnd w:id="685"/>
    </w:p>
    <w:p>
      <w:pPr>
        <w:spacing w:line="360" w:lineRule="auto"/>
        <w:ind w:firstLine="435"/>
        <w:rPr>
          <w:rFonts w:ascii="宋体" w:hAnsi="宋体"/>
          <w:color w:val="auto"/>
          <w:szCs w:val="21"/>
        </w:rPr>
      </w:pPr>
      <w:r>
        <w:rPr>
          <w:rFonts w:ascii="宋体" w:hAnsi="宋体"/>
          <w:color w:val="auto"/>
          <w:szCs w:val="21"/>
        </w:rPr>
        <w:t>如果乙方破产导致合同无法履行时，甲方可以书面形式通知乙方终止合同且不给予乙方任何补偿和赔偿</w:t>
      </w:r>
      <w:r>
        <w:rPr>
          <w:rFonts w:hint="eastAsia" w:ascii="宋体" w:hAnsi="宋体"/>
          <w:color w:val="auto"/>
          <w:szCs w:val="21"/>
        </w:rPr>
        <w:t>，但合同的</w:t>
      </w:r>
      <w:r>
        <w:rPr>
          <w:rFonts w:ascii="宋体" w:hAnsi="宋体"/>
          <w:color w:val="auto"/>
          <w:szCs w:val="21"/>
        </w:rPr>
        <w:t>终止不损害或不影响甲方已经采取或将要采取的任何要求乙方支付违约金</w:t>
      </w:r>
      <w:r>
        <w:rPr>
          <w:rFonts w:hint="eastAsia" w:ascii="宋体" w:hAnsi="宋体"/>
          <w:color w:val="auto"/>
          <w:szCs w:val="21"/>
        </w:rPr>
        <w:t>、</w:t>
      </w:r>
      <w:r>
        <w:rPr>
          <w:rFonts w:ascii="宋体" w:hAnsi="宋体"/>
          <w:color w:val="auto"/>
          <w:szCs w:val="21"/>
        </w:rPr>
        <w:t>赔偿损失等的行动或补救措施的权利</w:t>
      </w:r>
      <w:r>
        <w:rPr>
          <w:rFonts w:hint="eastAsia" w:ascii="宋体" w:hAnsi="宋体"/>
          <w:color w:val="auto"/>
          <w:szCs w:val="21"/>
        </w:rPr>
        <w:t>。</w:t>
      </w:r>
    </w:p>
    <w:p>
      <w:pPr>
        <w:spacing w:line="360" w:lineRule="auto"/>
        <w:ind w:firstLine="437"/>
        <w:outlineLvl w:val="3"/>
        <w:rPr>
          <w:rFonts w:ascii="宋体" w:hAnsi="宋体"/>
          <w:b/>
          <w:color w:val="auto"/>
          <w:szCs w:val="21"/>
        </w:rPr>
      </w:pPr>
      <w:bookmarkStart w:id="686" w:name="_Toc6134"/>
      <w:bookmarkStart w:id="687" w:name="_Toc29333"/>
      <w:bookmarkStart w:id="688" w:name="_Toc15387"/>
      <w:r>
        <w:rPr>
          <w:rFonts w:hint="eastAsia" w:ascii="宋体" w:hAnsi="宋体"/>
          <w:b/>
          <w:bCs/>
          <w:color w:val="auto"/>
          <w:szCs w:val="21"/>
          <w:lang w:val="zh-CN"/>
        </w:rPr>
        <w:t>2.1</w:t>
      </w:r>
      <w:r>
        <w:rPr>
          <w:rFonts w:ascii="宋体" w:hAnsi="宋体"/>
          <w:b/>
          <w:bCs/>
          <w:color w:val="auto"/>
          <w:szCs w:val="21"/>
          <w:lang w:val="zh-CN"/>
        </w:rPr>
        <w:t>4</w:t>
      </w:r>
      <w:r>
        <w:rPr>
          <w:rFonts w:hint="eastAsia" w:ascii="宋体" w:hAnsi="宋体"/>
          <w:b/>
          <w:bCs/>
          <w:color w:val="auto"/>
          <w:szCs w:val="21"/>
          <w:lang w:val="zh-CN"/>
        </w:rPr>
        <w:t xml:space="preserve"> 合同中止、终止</w:t>
      </w:r>
      <w:bookmarkEnd w:id="686"/>
      <w:bookmarkEnd w:id="687"/>
      <w:bookmarkEnd w:id="688"/>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.1双方当事人不得擅自中止或者终止合同；</w:t>
      </w:r>
    </w:p>
    <w:p>
      <w:pPr>
        <w:spacing w:line="360" w:lineRule="auto"/>
        <w:ind w:firstLine="435"/>
        <w:rPr>
          <w:rFonts w:ascii="宋体" w:hAnsi="宋体"/>
          <w:color w:val="auto"/>
          <w:szCs w:val="21"/>
        </w:rPr>
      </w:pPr>
      <w:r>
        <w:rPr>
          <w:rFonts w:hint="eastAsia" w:ascii="宋体" w:hAnsi="宋体"/>
          <w:color w:val="auto"/>
          <w:szCs w:val="21"/>
        </w:rPr>
        <w:t>2.1</w:t>
      </w:r>
      <w:r>
        <w:rPr>
          <w:rFonts w:ascii="宋体" w:hAnsi="宋体"/>
          <w:color w:val="auto"/>
          <w:szCs w:val="21"/>
        </w:rPr>
        <w:t>4</w:t>
      </w:r>
      <w:r>
        <w:rPr>
          <w:rFonts w:hint="eastAsia" w:ascii="宋体" w:hAnsi="宋体"/>
          <w:color w:val="auto"/>
          <w:szCs w:val="21"/>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宋体" w:hAnsi="宋体"/>
          <w:b/>
          <w:bCs/>
          <w:color w:val="auto"/>
          <w:szCs w:val="21"/>
          <w:lang w:val="zh-CN"/>
        </w:rPr>
      </w:pPr>
      <w:bookmarkStart w:id="689" w:name="_Toc6596"/>
      <w:bookmarkStart w:id="690" w:name="_Toc14563"/>
      <w:bookmarkStart w:id="691" w:name="_Toc1125"/>
      <w:r>
        <w:rPr>
          <w:rFonts w:hint="eastAsia" w:ascii="宋体" w:hAnsi="宋体"/>
          <w:b/>
          <w:bCs/>
          <w:color w:val="auto"/>
          <w:szCs w:val="21"/>
          <w:lang w:val="zh-CN"/>
        </w:rPr>
        <w:t>2.1</w:t>
      </w:r>
      <w:r>
        <w:rPr>
          <w:rFonts w:ascii="宋体" w:hAnsi="宋体"/>
          <w:b/>
          <w:bCs/>
          <w:color w:val="auto"/>
          <w:szCs w:val="21"/>
          <w:lang w:val="zh-CN"/>
        </w:rPr>
        <w:t>5</w:t>
      </w:r>
      <w:r>
        <w:rPr>
          <w:rFonts w:hint="eastAsia" w:ascii="宋体" w:hAnsi="宋体"/>
          <w:b/>
          <w:bCs/>
          <w:color w:val="auto"/>
          <w:szCs w:val="21"/>
          <w:lang w:val="zh-CN"/>
        </w:rPr>
        <w:t xml:space="preserve"> 检验和验收</w:t>
      </w:r>
      <w:bookmarkEnd w:id="689"/>
      <w:bookmarkEnd w:id="690"/>
      <w:bookmarkEnd w:id="691"/>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5</w:t>
      </w:r>
      <w:r>
        <w:rPr>
          <w:rFonts w:ascii="宋体" w:hAnsi="宋体"/>
          <w:color w:val="auto"/>
          <w:szCs w:val="21"/>
        </w:rPr>
        <w:t>.</w:t>
      </w:r>
      <w:r>
        <w:rPr>
          <w:rFonts w:hint="eastAsia" w:ascii="宋体" w:hAnsi="宋体"/>
          <w:color w:val="auto"/>
          <w:szCs w:val="21"/>
        </w:rPr>
        <w:t>1乙方按照</w:t>
      </w:r>
      <w:r>
        <w:rPr>
          <w:rFonts w:ascii="宋体" w:hAnsi="宋体"/>
          <w:b/>
          <w:i/>
          <w:color w:val="auto"/>
          <w:szCs w:val="21"/>
          <w:u w:val="single"/>
        </w:rPr>
        <w:t>合同专用条款</w:t>
      </w:r>
      <w:r>
        <w:rPr>
          <w:rFonts w:ascii="宋体" w:hAnsi="宋体"/>
          <w:color w:val="auto"/>
          <w:szCs w:val="21"/>
        </w:rPr>
        <w:t>的约定</w:t>
      </w:r>
      <w:r>
        <w:rPr>
          <w:rFonts w:hint="eastAsia" w:ascii="宋体" w:hAnsi="宋体"/>
          <w:color w:val="auto"/>
          <w:szCs w:val="21"/>
        </w:rPr>
        <w:t>，</w:t>
      </w:r>
      <w:r>
        <w:rPr>
          <w:rFonts w:ascii="宋体" w:hAnsi="宋体"/>
          <w:color w:val="auto"/>
          <w:szCs w:val="21"/>
        </w:rPr>
        <w:t>定期提交服务报告</w:t>
      </w:r>
      <w:r>
        <w:rPr>
          <w:rFonts w:hint="eastAsia" w:ascii="宋体" w:hAnsi="宋体"/>
          <w:color w:val="auto"/>
          <w:szCs w:val="21"/>
        </w:rPr>
        <w:t>，甲方按照</w:t>
      </w:r>
      <w:r>
        <w:rPr>
          <w:rFonts w:ascii="宋体" w:hAnsi="宋体"/>
          <w:b/>
          <w:i/>
          <w:color w:val="auto"/>
          <w:szCs w:val="21"/>
          <w:u w:val="single"/>
        </w:rPr>
        <w:t>合同专用条款</w:t>
      </w:r>
      <w:r>
        <w:rPr>
          <w:rFonts w:ascii="宋体" w:hAnsi="宋体"/>
          <w:color w:val="auto"/>
          <w:szCs w:val="21"/>
        </w:rPr>
        <w:t>的约定进行定期验收</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宋体" w:hAnsi="宋体"/>
          <w:color w:val="auto"/>
          <w:szCs w:val="21"/>
        </w:rPr>
      </w:pPr>
      <w:r>
        <w:rPr>
          <w:rFonts w:hint="eastAsia" w:ascii="宋体" w:hAnsi="宋体"/>
          <w:color w:val="auto"/>
          <w:szCs w:val="21"/>
        </w:rPr>
        <w:t>2.15.3检验和验收标准、程序等具体内容以及前述验收书的效力详见</w:t>
      </w:r>
      <w:r>
        <w:rPr>
          <w:rFonts w:ascii="宋体" w:hAnsi="宋体"/>
          <w:b/>
          <w:i/>
          <w:color w:val="auto"/>
          <w:szCs w:val="21"/>
          <w:u w:val="single"/>
        </w:rPr>
        <w:t>合同专用条款</w:t>
      </w:r>
      <w:r>
        <w:rPr>
          <w:rFonts w:hint="eastAsia" w:ascii="宋体" w:hAnsi="宋体"/>
          <w:i/>
          <w:color w:val="auto"/>
          <w:szCs w:val="21"/>
        </w:rPr>
        <w:t>。</w:t>
      </w:r>
    </w:p>
    <w:bookmarkEnd w:id="661"/>
    <w:bookmarkEnd w:id="662"/>
    <w:bookmarkEnd w:id="663"/>
    <w:bookmarkEnd w:id="664"/>
    <w:p>
      <w:pPr>
        <w:spacing w:line="360" w:lineRule="auto"/>
        <w:ind w:firstLine="437"/>
        <w:outlineLvl w:val="3"/>
        <w:rPr>
          <w:rFonts w:ascii="宋体" w:hAnsi="宋体"/>
          <w:b/>
          <w:bCs/>
          <w:color w:val="auto"/>
          <w:szCs w:val="21"/>
        </w:rPr>
      </w:pPr>
      <w:bookmarkStart w:id="692" w:name="_Toc487900373"/>
      <w:bookmarkStart w:id="693" w:name="_Toc259093692"/>
      <w:bookmarkStart w:id="694" w:name="_Toc12773"/>
      <w:bookmarkStart w:id="695" w:name="_Toc10330"/>
      <w:bookmarkStart w:id="696" w:name="_Toc279701263"/>
      <w:bookmarkStart w:id="697" w:name="_Toc18567"/>
      <w:r>
        <w:rPr>
          <w:rFonts w:hint="eastAsia" w:ascii="宋体" w:hAnsi="宋体"/>
          <w:b/>
          <w:bCs/>
          <w:color w:val="auto"/>
          <w:szCs w:val="21"/>
        </w:rPr>
        <w:t>2.</w:t>
      </w:r>
      <w:r>
        <w:rPr>
          <w:rFonts w:ascii="宋体" w:hAnsi="宋体"/>
          <w:b/>
          <w:bCs/>
          <w:color w:val="auto"/>
          <w:szCs w:val="21"/>
        </w:rPr>
        <w:t>16</w:t>
      </w:r>
      <w:r>
        <w:rPr>
          <w:rFonts w:hint="eastAsia" w:ascii="宋体" w:hAnsi="宋体"/>
          <w:b/>
          <w:bCs/>
          <w:color w:val="auto"/>
          <w:szCs w:val="21"/>
        </w:rPr>
        <w:t xml:space="preserve"> </w:t>
      </w:r>
      <w:r>
        <w:rPr>
          <w:rFonts w:hint="eastAsia" w:ascii="宋体" w:hAnsi="宋体"/>
          <w:b/>
          <w:bCs/>
          <w:color w:val="auto"/>
          <w:szCs w:val="21"/>
          <w:lang w:val="zh-CN"/>
        </w:rPr>
        <w:t>合同使用的文字和</w:t>
      </w:r>
      <w:r>
        <w:rPr>
          <w:rFonts w:ascii="宋体" w:hAnsi="宋体"/>
          <w:b/>
          <w:bCs/>
          <w:color w:val="auto"/>
          <w:szCs w:val="21"/>
          <w:lang w:val="zh-CN"/>
        </w:rPr>
        <w:t>适用的法律</w:t>
      </w:r>
      <w:bookmarkEnd w:id="692"/>
      <w:bookmarkEnd w:id="693"/>
      <w:bookmarkEnd w:id="694"/>
      <w:bookmarkEnd w:id="695"/>
      <w:bookmarkEnd w:id="696"/>
      <w:bookmarkEnd w:id="697"/>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16.1合同使用汉语</w:t>
      </w:r>
      <w:r>
        <w:rPr>
          <w:rFonts w:hint="eastAsia" w:ascii="宋体" w:hAnsi="宋体"/>
          <w:color w:val="auto"/>
          <w:szCs w:val="21"/>
        </w:rPr>
        <w:t>进行</w:t>
      </w:r>
      <w:r>
        <w:rPr>
          <w:rFonts w:ascii="宋体" w:hAnsi="宋体"/>
          <w:color w:val="auto"/>
          <w:szCs w:val="21"/>
        </w:rPr>
        <w:t>书</w:t>
      </w:r>
      <w:r>
        <w:rPr>
          <w:rFonts w:hint="eastAsia" w:ascii="宋体" w:hAnsi="宋体"/>
          <w:color w:val="auto"/>
          <w:szCs w:val="21"/>
        </w:rPr>
        <w:t>写、</w:t>
      </w:r>
      <w:r>
        <w:rPr>
          <w:rFonts w:ascii="宋体" w:hAnsi="宋体"/>
          <w:color w:val="auto"/>
          <w:szCs w:val="21"/>
        </w:rPr>
        <w:t>变更和解释</w:t>
      </w:r>
      <w:r>
        <w:rPr>
          <w:rFonts w:hint="eastAsia" w:ascii="宋体" w:hAnsi="宋体"/>
          <w:color w:val="auto"/>
          <w:szCs w:val="21"/>
        </w:rPr>
        <w:t>；</w:t>
      </w:r>
    </w:p>
    <w:p>
      <w:pPr>
        <w:spacing w:line="360" w:lineRule="auto"/>
        <w:ind w:firstLine="435"/>
        <w:rPr>
          <w:rFonts w:ascii="宋体" w:hAnsi="宋体"/>
          <w:color w:val="auto"/>
          <w:szCs w:val="21"/>
        </w:rPr>
      </w:pPr>
      <w:r>
        <w:rPr>
          <w:rFonts w:hint="eastAsia" w:ascii="宋体" w:hAnsi="宋体"/>
          <w:color w:val="auto"/>
          <w:szCs w:val="21"/>
        </w:rPr>
        <w:t>2.</w:t>
      </w:r>
      <w:r>
        <w:rPr>
          <w:rFonts w:ascii="宋体" w:hAnsi="宋体"/>
          <w:color w:val="auto"/>
          <w:szCs w:val="21"/>
        </w:rPr>
        <w:t>16</w:t>
      </w:r>
      <w:r>
        <w:rPr>
          <w:rFonts w:hint="eastAsia" w:ascii="宋体" w:hAnsi="宋体"/>
          <w:color w:val="auto"/>
          <w:szCs w:val="21"/>
        </w:rPr>
        <w:t>.2合同适用</w:t>
      </w:r>
      <w:r>
        <w:rPr>
          <w:rFonts w:ascii="宋体" w:hAnsi="宋体"/>
          <w:color w:val="auto"/>
          <w:szCs w:val="21"/>
        </w:rPr>
        <w:t>中华人民共和国法律。</w:t>
      </w:r>
    </w:p>
    <w:p>
      <w:pPr>
        <w:spacing w:line="360" w:lineRule="auto"/>
        <w:ind w:firstLine="437"/>
        <w:outlineLvl w:val="3"/>
        <w:rPr>
          <w:rFonts w:ascii="宋体" w:hAnsi="宋体"/>
          <w:b/>
          <w:color w:val="auto"/>
          <w:szCs w:val="21"/>
        </w:rPr>
      </w:pPr>
      <w:bookmarkStart w:id="698" w:name="_Toc14001"/>
      <w:bookmarkStart w:id="699" w:name="_Toc19890"/>
      <w:bookmarkStart w:id="700" w:name="_Toc6885"/>
      <w:r>
        <w:rPr>
          <w:rFonts w:hint="eastAsia" w:ascii="宋体" w:hAnsi="宋体"/>
          <w:b/>
          <w:bCs/>
          <w:color w:val="auto"/>
          <w:szCs w:val="21"/>
          <w:lang w:val="zh-CN"/>
        </w:rPr>
        <w:t>2.</w:t>
      </w:r>
      <w:r>
        <w:rPr>
          <w:rFonts w:ascii="宋体" w:hAnsi="宋体"/>
          <w:b/>
          <w:bCs/>
          <w:color w:val="auto"/>
          <w:szCs w:val="21"/>
          <w:lang w:val="zh-CN"/>
        </w:rPr>
        <w:t>1</w:t>
      </w:r>
      <w:r>
        <w:rPr>
          <w:rFonts w:hint="eastAsia" w:ascii="宋体" w:hAnsi="宋体"/>
          <w:b/>
          <w:bCs/>
          <w:color w:val="auto"/>
          <w:szCs w:val="21"/>
        </w:rPr>
        <w:t>7</w:t>
      </w:r>
      <w:r>
        <w:rPr>
          <w:rFonts w:hint="eastAsia" w:ascii="宋体" w:hAnsi="宋体"/>
          <w:b/>
          <w:bCs/>
          <w:color w:val="auto"/>
          <w:szCs w:val="21"/>
          <w:lang w:val="zh-CN"/>
        </w:rPr>
        <w:t xml:space="preserve"> 合同份数</w:t>
      </w:r>
      <w:bookmarkEnd w:id="698"/>
      <w:bookmarkEnd w:id="699"/>
      <w:bookmarkEnd w:id="700"/>
    </w:p>
    <w:p>
      <w:pPr>
        <w:pStyle w:val="18"/>
        <w:overflowPunct w:val="0"/>
        <w:spacing w:line="440" w:lineRule="exact"/>
        <w:rPr>
          <w:rFonts w:ascii="宋体" w:cs="宋体"/>
          <w:color w:val="auto"/>
          <w:szCs w:val="21"/>
          <w:u w:color="000000"/>
        </w:rPr>
      </w:pPr>
      <w:r>
        <w:rPr>
          <w:rFonts w:hint="eastAsia" w:ascii="宋体" w:hAnsi="宋体"/>
          <w:color w:val="auto"/>
          <w:szCs w:val="21"/>
        </w:rPr>
        <w:t>一式六份，甲方四份，乙方两份，</w:t>
      </w:r>
      <w:r>
        <w:rPr>
          <w:rFonts w:ascii="宋体" w:hAnsi="宋体"/>
          <w:color w:val="auto"/>
          <w:szCs w:val="21"/>
        </w:rPr>
        <w:t>每份均具有同等法律效力</w:t>
      </w:r>
      <w:r>
        <w:rPr>
          <w:rFonts w:hint="eastAsia" w:ascii="宋体" w:hAnsi="宋体"/>
          <w:color w:val="auto"/>
          <w:szCs w:val="21"/>
        </w:rPr>
        <w:t>。</w:t>
      </w: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p>
    <w:p>
      <w:pPr>
        <w:widowControl/>
        <w:spacing w:line="360" w:lineRule="auto"/>
        <w:ind w:left="640" w:leftChars="305" w:firstLine="210" w:firstLineChars="100"/>
        <w:jc w:val="left"/>
        <w:rPr>
          <w:rFonts w:ascii="宋体" w:hAnsi="宋体"/>
          <w:color w:val="auto"/>
          <w:kern w:val="0"/>
          <w:szCs w:val="21"/>
        </w:rPr>
      </w:pPr>
      <w:r>
        <w:rPr>
          <w:rFonts w:ascii="宋体" w:hAnsi="宋体"/>
          <w:color w:val="auto"/>
          <w:kern w:val="0"/>
          <w:szCs w:val="21"/>
        </w:rPr>
        <w:t>　　</w:t>
      </w:r>
    </w:p>
    <w:p>
      <w:pPr>
        <w:spacing w:before="156" w:beforeLines="50" w:after="156" w:afterLines="50"/>
        <w:jc w:val="center"/>
        <w:outlineLvl w:val="0"/>
        <w:rPr>
          <w:rFonts w:ascii="宋体"/>
          <w:b/>
          <w:color w:val="auto"/>
          <w:sz w:val="32"/>
          <w:szCs w:val="32"/>
        </w:rPr>
      </w:pPr>
    </w:p>
    <w:p>
      <w:pPr>
        <w:spacing w:before="156" w:beforeLines="50" w:after="156" w:afterLines="50"/>
        <w:jc w:val="center"/>
        <w:outlineLvl w:val="0"/>
        <w:rPr>
          <w:rFonts w:ascii="宋体"/>
          <w:b/>
          <w:color w:val="auto"/>
          <w:sz w:val="32"/>
          <w:szCs w:val="32"/>
        </w:rPr>
      </w:pPr>
    </w:p>
    <w:p>
      <w:pPr>
        <w:pStyle w:val="2"/>
        <w:ind w:firstLine="643"/>
        <w:rPr>
          <w:rFonts w:ascii="宋体"/>
          <w:b/>
          <w:color w:val="auto"/>
          <w:sz w:val="32"/>
          <w:szCs w:val="32"/>
        </w:rPr>
      </w:pPr>
    </w:p>
    <w:p>
      <w:pPr>
        <w:rPr>
          <w:rFonts w:ascii="宋体"/>
          <w:b/>
          <w:color w:val="auto"/>
          <w:sz w:val="32"/>
          <w:szCs w:val="32"/>
        </w:rPr>
      </w:pPr>
    </w:p>
    <w:p>
      <w:pPr>
        <w:pStyle w:val="2"/>
        <w:ind w:firstLine="643"/>
        <w:rPr>
          <w:rFonts w:ascii="宋体"/>
          <w:b/>
          <w:color w:val="auto"/>
          <w:sz w:val="32"/>
          <w:szCs w:val="32"/>
        </w:rPr>
      </w:pPr>
    </w:p>
    <w:p>
      <w:pPr>
        <w:rPr>
          <w:color w:val="auto"/>
        </w:rPr>
      </w:pPr>
    </w:p>
    <w:p>
      <w:pPr>
        <w:spacing w:before="156" w:beforeLines="50" w:after="156" w:afterLines="50"/>
        <w:jc w:val="center"/>
        <w:outlineLvl w:val="0"/>
        <w:rPr>
          <w:rFonts w:ascii="宋体"/>
          <w:b/>
          <w:color w:val="auto"/>
          <w:sz w:val="32"/>
          <w:szCs w:val="32"/>
        </w:rPr>
      </w:pPr>
      <w:r>
        <w:rPr>
          <w:rFonts w:hint="eastAsia" w:ascii="宋体"/>
          <w:b/>
          <w:color w:val="auto"/>
          <w:sz w:val="32"/>
          <w:szCs w:val="32"/>
        </w:rPr>
        <w:t>第</w:t>
      </w:r>
      <w:r>
        <w:rPr>
          <w:rFonts w:hint="eastAsia" w:ascii="宋体"/>
          <w:b/>
          <w:color w:val="auto"/>
          <w:sz w:val="32"/>
          <w:szCs w:val="32"/>
          <w:lang w:val="en-US" w:eastAsia="zh-CN"/>
        </w:rPr>
        <w:t>六</w:t>
      </w:r>
      <w:r>
        <w:rPr>
          <w:rFonts w:hint="eastAsia" w:ascii="宋体"/>
          <w:b/>
          <w:color w:val="auto"/>
          <w:sz w:val="32"/>
          <w:szCs w:val="32"/>
        </w:rPr>
        <w:t>章  投标文件格式</w:t>
      </w:r>
      <w:bookmarkEnd w:id="558"/>
      <w:bookmarkEnd w:id="559"/>
    </w:p>
    <w:p>
      <w:pPr>
        <w:rPr>
          <w:rFonts w:eastAsia="黑体"/>
          <w:color w:val="auto"/>
          <w:sz w:val="20"/>
        </w:rPr>
      </w:pPr>
    </w:p>
    <w:p>
      <w:pPr>
        <w:jc w:val="center"/>
        <w:rPr>
          <w:rFonts w:eastAsia="黑体"/>
          <w:color w:val="auto"/>
          <w:sz w:val="44"/>
          <w:szCs w:val="44"/>
        </w:rPr>
      </w:pPr>
    </w:p>
    <w:p>
      <w:pPr>
        <w:jc w:val="center"/>
        <w:rPr>
          <w:rFonts w:ascii="宋体" w:hAnsi="宋体"/>
          <w:b/>
          <w:color w:val="auto"/>
          <w:sz w:val="28"/>
          <w:szCs w:val="28"/>
          <w:bdr w:val="single" w:color="000000" w:sz="4" w:space="0"/>
        </w:rPr>
      </w:pPr>
      <w:r>
        <w:rPr>
          <w:rFonts w:hint="eastAsia" w:ascii="宋体" w:hAnsi="宋体"/>
          <w:b/>
          <w:color w:val="auto"/>
          <w:sz w:val="28"/>
          <w:szCs w:val="28"/>
        </w:rPr>
        <w:t>一、资信证明格式文件</w:t>
      </w:r>
    </w:p>
    <w:p>
      <w:pPr>
        <w:jc w:val="center"/>
        <w:rPr>
          <w:rFonts w:eastAsia="黑体"/>
          <w:color w:val="auto"/>
          <w:sz w:val="20"/>
        </w:rPr>
      </w:pPr>
    </w:p>
    <w:p>
      <w:pPr>
        <w:rPr>
          <w:rFonts w:eastAsia="黑体"/>
          <w:color w:val="auto"/>
          <w:sz w:val="20"/>
        </w:rPr>
      </w:pPr>
    </w:p>
    <w:p>
      <w:pPr>
        <w:jc w:val="center"/>
        <w:rPr>
          <w:rFonts w:ascii="宋体"/>
          <w:b/>
          <w:color w:val="auto"/>
          <w:sz w:val="44"/>
          <w:szCs w:val="44"/>
        </w:rPr>
      </w:pPr>
      <w:bookmarkStart w:id="701" w:name="_Toc350698753"/>
      <w:bookmarkStart w:id="702" w:name="_Toc449028949"/>
      <w:r>
        <w:rPr>
          <w:rFonts w:hint="eastAsia" w:ascii="宋体"/>
          <w:b/>
          <w:color w:val="auto"/>
          <w:sz w:val="44"/>
          <w:szCs w:val="44"/>
        </w:rPr>
        <w:t>资信证明文件</w:t>
      </w:r>
      <w:bookmarkEnd w:id="701"/>
      <w:bookmarkEnd w:id="702"/>
    </w:p>
    <w:p>
      <w:pPr>
        <w:jc w:val="center"/>
        <w:rPr>
          <w:rFonts w:ascii="宋体"/>
          <w:color w:val="auto"/>
          <w:sz w:val="32"/>
          <w:szCs w:val="32"/>
        </w:rPr>
      </w:pPr>
      <w:r>
        <w:rPr>
          <w:rFonts w:hint="eastAsia" w:ascii="宋体"/>
          <w:color w:val="auto"/>
          <w:sz w:val="32"/>
          <w:szCs w:val="32"/>
        </w:rPr>
        <w:t>（投标文件一）</w:t>
      </w:r>
    </w:p>
    <w:p>
      <w:pPr>
        <w:jc w:val="center"/>
        <w:rPr>
          <w:rFonts w:eastAsia="黑体"/>
          <w:color w:val="auto"/>
          <w:sz w:val="44"/>
          <w:szCs w:val="44"/>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560" w:firstLineChars="20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spacing w:line="720" w:lineRule="auto"/>
        <w:jc w:val="center"/>
        <w:rPr>
          <w:rFonts w:ascii="宋体"/>
          <w:b/>
          <w:color w:val="auto"/>
          <w:sz w:val="36"/>
          <w:szCs w:val="36"/>
        </w:rPr>
      </w:pPr>
    </w:p>
    <w:p>
      <w:pPr>
        <w:pStyle w:val="7"/>
        <w:rPr>
          <w:rFonts w:ascii="宋体"/>
          <w:color w:val="auto"/>
          <w:sz w:val="36"/>
          <w:szCs w:val="36"/>
        </w:rPr>
      </w:pPr>
    </w:p>
    <w:p>
      <w:pPr>
        <w:spacing w:line="400" w:lineRule="exact"/>
        <w:ind w:firstLine="4130" w:firstLineChars="935"/>
        <w:rPr>
          <w:b/>
          <w:color w:val="auto"/>
          <w:sz w:val="44"/>
          <w:szCs w:val="44"/>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（1）法定代表人身份证明及其有效身份证复印件（或法定代表人授权委托书及其有效身份证复印件）（格式见附件）；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（2）投标人有效的营业执照、税务登记证、组织机构代码证（或三合一证书）；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（3）诚信投标承诺书（格式见附件）；</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eastAsia="宋体" w:cs="宋体"/>
          <w:color w:val="auto"/>
          <w:szCs w:val="21"/>
          <w:lang w:val="en-US" w:eastAsia="zh-CN"/>
        </w:rPr>
        <w:t>投标人业绩要求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（5）具备环保工程专业承包三级（含）及以上资质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）投标人认为需要提供的其他资信证明材料。</w:t>
      </w:r>
    </w:p>
    <w:p>
      <w:pPr>
        <w:spacing w:line="360" w:lineRule="auto"/>
        <w:ind w:firstLine="420" w:firstLineChars="200"/>
        <w:rPr>
          <w:rFonts w:ascii="宋体" w:hAnsi="宋体" w:cs="宋体"/>
          <w:color w:val="auto"/>
          <w:szCs w:val="21"/>
        </w:rPr>
      </w:pPr>
    </w:p>
    <w:p>
      <w:pPr>
        <w:spacing w:line="360" w:lineRule="auto"/>
        <w:ind w:firstLine="420" w:firstLineChars="200"/>
        <w:rPr>
          <w:rFonts w:hAnsi="宋体"/>
          <w:color w:val="auto"/>
          <w:szCs w:val="21"/>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spacing w:line="400" w:lineRule="exact"/>
        <w:rPr>
          <w:b/>
          <w:color w:val="auto"/>
          <w:sz w:val="28"/>
          <w:szCs w:val="28"/>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b/>
          <w:color w:val="auto"/>
          <w:sz w:val="28"/>
          <w:szCs w:val="28"/>
        </w:rPr>
      </w:pPr>
      <w:r>
        <w:rPr>
          <w:rFonts w:hint="eastAsia"/>
          <w:b/>
          <w:color w:val="auto"/>
          <w:sz w:val="28"/>
          <w:szCs w:val="28"/>
        </w:rPr>
        <w:t>附件1</w:t>
      </w:r>
    </w:p>
    <w:p>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pPr>
        <w:pStyle w:val="224"/>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720" w:firstLineChars="1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r>
        <w:rPr>
          <w:rFonts w:hint="eastAsia" w:ascii="宋体"/>
          <w:color w:val="auto"/>
          <w:sz w:val="24"/>
        </w:rPr>
        <w:t>_</w:t>
      </w:r>
    </w:p>
    <w:p>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pPr>
        <w:spacing w:line="480" w:lineRule="exact"/>
        <w:ind w:firstLine="960" w:firstLineChars="400"/>
        <w:rPr>
          <w:rFonts w:ascii="宋体"/>
          <w:color w:val="auto"/>
          <w:sz w:val="24"/>
        </w:rPr>
      </w:pPr>
      <w:r>
        <w:rPr>
          <w:rFonts w:hint="eastAsia" w:ascii="宋体"/>
          <w:color w:val="auto"/>
          <w:sz w:val="24"/>
        </w:rPr>
        <w:t>特此证明。</w:t>
      </w:r>
    </w:p>
    <w:p>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pPr>
        <w:wordWrap w:val="0"/>
        <w:spacing w:line="360" w:lineRule="auto"/>
        <w:jc w:val="right"/>
        <w:rPr>
          <w:color w:val="auto"/>
        </w:rPr>
      </w:pPr>
      <w:r>
        <w:rPr>
          <w:rFonts w:hint="eastAsia" w:ascii="宋体"/>
          <w:color w:val="auto"/>
          <w:sz w:val="24"/>
        </w:rPr>
        <w:t xml:space="preserve">                                        </w:t>
      </w:r>
      <w:r>
        <w:rPr>
          <w:rFonts w:hint="eastAsia" w:ascii="宋体"/>
          <w:color w:val="auto"/>
          <w:sz w:val="24"/>
          <w:u w:val="single"/>
        </w:rPr>
        <w:t xml:space="preserve">       </w:t>
      </w:r>
      <w:r>
        <w:rPr>
          <w:rFonts w:hint="eastAsia" w:ascii="宋体"/>
          <w:color w:val="auto"/>
          <w:sz w:val="24"/>
        </w:rPr>
        <w:t xml:space="preserve">年 </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日  </w:t>
      </w:r>
    </w:p>
    <w:p>
      <w:pPr>
        <w:pStyle w:val="224"/>
        <w:spacing w:before="312" w:beforeLines="100" w:after="312" w:afterLines="100" w:line="480" w:lineRule="exact"/>
        <w:ind w:firstLine="180" w:firstLineChars="75"/>
        <w:rPr>
          <w:rFonts w:ascii="宋体"/>
          <w:color w:val="auto"/>
          <w:sz w:val="24"/>
          <w:szCs w:val="24"/>
        </w:rPr>
      </w:pPr>
      <w:r>
        <w:rPr>
          <w:rFonts w:hint="eastAsia" w:ascii="宋体"/>
          <w:color w:val="auto"/>
          <w:sz w:val="24"/>
          <w:szCs w:val="24"/>
        </w:rPr>
        <w:t>2.授权委托书</w:t>
      </w:r>
    </w:p>
    <w:p>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color w:val="auto"/>
          <w:sz w:val="24"/>
        </w:rPr>
      </w:pPr>
      <w:r>
        <w:rPr>
          <w:rFonts w:hint="eastAsia" w:ascii="宋体"/>
          <w:color w:val="auto"/>
          <w:sz w:val="24"/>
        </w:rPr>
        <w:t>委托期限：</w:t>
      </w:r>
      <w:r>
        <w:rPr>
          <w:rFonts w:hint="eastAsia" w:ascii="宋体"/>
          <w:color w:val="auto"/>
          <w:sz w:val="24"/>
          <w:u w:val="single"/>
        </w:rPr>
        <w:t xml:space="preserve">      。</w:t>
      </w:r>
      <w:r>
        <w:rPr>
          <w:rFonts w:hint="eastAsia" w:ascii="宋体"/>
          <w:color w:val="auto"/>
          <w:sz w:val="24"/>
        </w:rPr>
        <w:t xml:space="preserve">                                </w:t>
      </w:r>
    </w:p>
    <w:p>
      <w:pPr>
        <w:spacing w:line="480" w:lineRule="exact"/>
        <w:ind w:firstLine="480" w:firstLineChars="200"/>
        <w:rPr>
          <w:rFonts w:ascii="宋体"/>
          <w:color w:val="auto"/>
          <w:sz w:val="24"/>
        </w:rPr>
      </w:pPr>
      <w:r>
        <w:rPr>
          <w:rFonts w:hint="eastAsia" w:ascii="宋体"/>
          <w:color w:val="auto"/>
          <w:sz w:val="24"/>
        </w:rPr>
        <w:t>代理人无转委托权。</w:t>
      </w:r>
    </w:p>
    <w:p>
      <w:pPr>
        <w:spacing w:line="480" w:lineRule="exact"/>
        <w:ind w:firstLine="482" w:firstLineChars="200"/>
        <w:rPr>
          <w:rFonts w:ascii="宋体"/>
          <w:b/>
          <w:bCs/>
          <w:color w:val="auto"/>
          <w:sz w:val="24"/>
        </w:rPr>
      </w:pPr>
      <w:r>
        <w:rPr>
          <w:rFonts w:hint="eastAsia" w:ascii="宋体"/>
          <w:b/>
          <w:bCs/>
          <w:color w:val="auto"/>
          <w:sz w:val="24"/>
        </w:rPr>
        <w:t>附：授权委托人有效身份证及法定代表人有效身份证</w:t>
      </w:r>
    </w:p>
    <w:p>
      <w:pPr>
        <w:spacing w:line="480" w:lineRule="exact"/>
        <w:ind w:firstLine="2280" w:firstLineChars="950"/>
        <w:rPr>
          <w:rFonts w:ascii="宋体"/>
          <w:color w:val="auto"/>
          <w:sz w:val="24"/>
        </w:rPr>
      </w:pPr>
      <w:r>
        <w:rPr>
          <w:rFonts w:hint="eastAsia" w:ascii="宋体"/>
          <w:color w:val="auto"/>
          <w:sz w:val="24"/>
        </w:rPr>
        <w:t xml:space="preserve">                 投标人：             （盖单位章）</w:t>
      </w:r>
    </w:p>
    <w:p>
      <w:pPr>
        <w:spacing w:line="480" w:lineRule="exact"/>
        <w:jc w:val="right"/>
        <w:rPr>
          <w:rFonts w:ascii="宋体"/>
          <w:color w:val="auto"/>
          <w:sz w:val="24"/>
        </w:rPr>
      </w:pPr>
      <w:r>
        <w:rPr>
          <w:rFonts w:hint="eastAsia" w:ascii="宋体"/>
          <w:color w:val="auto"/>
          <w:sz w:val="24"/>
        </w:rPr>
        <w:t>法定代表人（身份证号码）：             （签字或盖章）</w:t>
      </w:r>
    </w:p>
    <w:p>
      <w:pPr>
        <w:spacing w:line="480" w:lineRule="exact"/>
        <w:ind w:firstLine="2820" w:firstLineChars="1175"/>
        <w:rPr>
          <w:rFonts w:ascii="宋体"/>
          <w:color w:val="auto"/>
          <w:sz w:val="24"/>
        </w:rPr>
      </w:pPr>
      <w:r>
        <w:rPr>
          <w:rFonts w:hint="eastAsia" w:ascii="宋体"/>
          <w:color w:val="auto"/>
          <w:sz w:val="24"/>
        </w:rPr>
        <w:t xml:space="preserve">              年    月    日</w:t>
      </w:r>
    </w:p>
    <w:p>
      <w:pPr>
        <w:spacing w:line="360" w:lineRule="exact"/>
        <w:ind w:firstLine="413" w:firstLineChars="147"/>
        <w:rPr>
          <w:b/>
          <w:color w:val="auto"/>
          <w:sz w:val="28"/>
          <w:szCs w:val="28"/>
          <w:u w:val="single"/>
        </w:rPr>
      </w:pPr>
    </w:p>
    <w:p>
      <w:pPr>
        <w:spacing w:line="360" w:lineRule="exact"/>
        <w:ind w:firstLine="413" w:firstLineChars="147"/>
        <w:rPr>
          <w:b/>
          <w:color w:val="auto"/>
          <w:sz w:val="28"/>
          <w:szCs w:val="28"/>
          <w:u w:val="single"/>
        </w:rPr>
      </w:pPr>
    </w:p>
    <w:p>
      <w:pPr>
        <w:spacing w:line="360" w:lineRule="exact"/>
        <w:ind w:firstLine="443" w:firstLineChars="147"/>
        <w:rPr>
          <w:rFonts w:ascii="宋体"/>
          <w:b/>
          <w:color w:val="auto"/>
          <w:sz w:val="30"/>
          <w:szCs w:val="30"/>
        </w:rPr>
      </w:pPr>
      <w:r>
        <w:rPr>
          <w:rFonts w:hint="eastAsia" w:ascii="宋体"/>
          <w:b/>
          <w:color w:val="auto"/>
          <w:sz w:val="30"/>
          <w:szCs w:val="30"/>
        </w:rPr>
        <w:t>附件2</w:t>
      </w:r>
    </w:p>
    <w:p>
      <w:pPr>
        <w:spacing w:line="360" w:lineRule="auto"/>
        <w:jc w:val="center"/>
        <w:rPr>
          <w:b/>
          <w:color w:val="auto"/>
          <w:sz w:val="28"/>
          <w:szCs w:val="28"/>
        </w:rPr>
      </w:pPr>
      <w:bookmarkStart w:id="703" w:name="_Toc440443268"/>
      <w:bookmarkStart w:id="704" w:name="_Toc449028950"/>
      <w:r>
        <w:rPr>
          <w:rFonts w:hint="eastAsia"/>
          <w:b/>
          <w:color w:val="auto"/>
          <w:sz w:val="28"/>
          <w:szCs w:val="28"/>
        </w:rPr>
        <w:t>诚信投标承诺书 </w:t>
      </w:r>
    </w:p>
    <w:p>
      <w:pPr>
        <w:spacing w:line="500" w:lineRule="exact"/>
        <w:ind w:firstLine="420" w:firstLineChars="200"/>
        <w:rPr>
          <w:rFonts w:ascii="宋体" w:hAnsi="宋体"/>
          <w:color w:val="auto"/>
          <w:szCs w:val="21"/>
        </w:rPr>
      </w:pPr>
      <w:r>
        <w:rPr>
          <w:rFonts w:hint="eastAsia" w:ascii="宋体" w:hAnsi="宋体"/>
          <w:color w:val="auto"/>
          <w:szCs w:val="21"/>
        </w:rPr>
        <w:t>本人以企业法定代表人的身份郑重承诺：</w:t>
      </w:r>
    </w:p>
    <w:p>
      <w:pPr>
        <w:spacing w:line="5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项目的投标，所提供的一切材料都是真实、有效、合法的；</w:t>
      </w:r>
    </w:p>
    <w:p>
      <w:pPr>
        <w:spacing w:line="500" w:lineRule="exact"/>
        <w:ind w:firstLine="420" w:firstLineChars="200"/>
        <w:rPr>
          <w:rFonts w:ascii="宋体" w:hAnsi="宋体"/>
          <w:color w:val="auto"/>
          <w:szCs w:val="21"/>
        </w:rPr>
      </w:pPr>
      <w:r>
        <w:rPr>
          <w:rFonts w:hint="eastAsia" w:ascii="宋体" w:hAnsi="宋体"/>
          <w:color w:val="auto"/>
          <w:szCs w:val="21"/>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5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四、不与其他投标人相互串通投标报价，不排挤其他投标人的公平竞争、损害采购人的合法权益；</w:t>
      </w:r>
    </w:p>
    <w:p>
      <w:pPr>
        <w:spacing w:line="500" w:lineRule="exact"/>
        <w:ind w:firstLine="420" w:firstLineChars="200"/>
        <w:rPr>
          <w:rFonts w:ascii="宋体" w:hAnsi="宋体"/>
          <w:color w:val="auto"/>
          <w:szCs w:val="21"/>
        </w:rPr>
      </w:pPr>
      <w:r>
        <w:rPr>
          <w:rFonts w:hint="eastAsia" w:ascii="宋体" w:hAnsi="宋体"/>
          <w:color w:val="auto"/>
          <w:szCs w:val="21"/>
        </w:rPr>
        <w:t>五、不与采购人、招标代理机构或其他投标人串通投标，损害国家利益、社会公共利益或者他人的合法权益；</w:t>
      </w:r>
    </w:p>
    <w:p>
      <w:pPr>
        <w:spacing w:line="500" w:lineRule="exact"/>
        <w:ind w:firstLine="420" w:firstLineChars="200"/>
        <w:rPr>
          <w:rFonts w:ascii="宋体" w:hAnsi="宋体"/>
          <w:color w:val="auto"/>
          <w:szCs w:val="21"/>
        </w:rPr>
      </w:pPr>
      <w:r>
        <w:rPr>
          <w:rFonts w:hint="eastAsia" w:ascii="宋体" w:hAnsi="宋体"/>
          <w:color w:val="auto"/>
          <w:szCs w:val="21"/>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500" w:lineRule="exact"/>
        <w:ind w:firstLine="420" w:firstLineChars="200"/>
        <w:rPr>
          <w:rFonts w:ascii="宋体" w:hAnsi="宋体"/>
          <w:color w:val="auto"/>
          <w:szCs w:val="21"/>
        </w:rPr>
      </w:pPr>
      <w:r>
        <w:rPr>
          <w:rFonts w:hint="eastAsia" w:ascii="宋体" w:hAnsi="宋体"/>
          <w:color w:val="auto"/>
          <w:szCs w:val="21"/>
        </w:rPr>
        <w:t>八、保证中标后不转包，若有分包征得采购人同意；</w:t>
      </w:r>
    </w:p>
    <w:p>
      <w:pPr>
        <w:spacing w:line="500" w:lineRule="exact"/>
        <w:ind w:firstLine="420" w:firstLineChars="200"/>
        <w:rPr>
          <w:rFonts w:ascii="宋体" w:hAnsi="宋体"/>
          <w:color w:val="auto"/>
          <w:szCs w:val="21"/>
        </w:rPr>
      </w:pPr>
      <w:r>
        <w:rPr>
          <w:rFonts w:hint="eastAsia" w:ascii="宋体" w:hAnsi="宋体"/>
          <w:color w:val="auto"/>
          <w:szCs w:val="21"/>
        </w:rPr>
        <w:t>九、保证中标之后，按照投标文件要求提供相关后续服务；</w:t>
      </w:r>
    </w:p>
    <w:p>
      <w:pPr>
        <w:spacing w:line="5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5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color w:val="auto"/>
          <w:szCs w:val="21"/>
        </w:rPr>
      </w:pPr>
      <w:r>
        <w:rPr>
          <w:rFonts w:hint="eastAsia" w:ascii="宋体" w:hAnsi="宋体"/>
          <w:color w:val="auto"/>
          <w:szCs w:val="21"/>
        </w:rPr>
        <w:t> </w:t>
      </w:r>
    </w:p>
    <w:p>
      <w:pPr>
        <w:spacing w:line="50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500" w:lineRule="exact"/>
        <w:ind w:firstLine="420" w:firstLineChars="200"/>
        <w:rPr>
          <w:rFonts w:ascii="宋体" w:hAnsi="宋体"/>
          <w:color w:val="auto"/>
          <w:szCs w:val="21"/>
        </w:rPr>
      </w:pPr>
      <w:r>
        <w:rPr>
          <w:rFonts w:hint="eastAsia" w:ascii="宋体" w:hAnsi="宋体"/>
          <w:color w:val="auto"/>
          <w:szCs w:val="21"/>
        </w:rPr>
        <w:t>投标单位（盖单位章）：          法定代表人（签字或盖章）：</w:t>
      </w:r>
    </w:p>
    <w:p>
      <w:pPr>
        <w:spacing w:line="500" w:lineRule="exact"/>
        <w:ind w:firstLine="420" w:firstLineChars="200"/>
        <w:rPr>
          <w:rFonts w:ascii="宋体" w:hAnsi="宋体"/>
          <w:color w:val="auto"/>
          <w:szCs w:val="21"/>
        </w:rPr>
      </w:pPr>
    </w:p>
    <w:p>
      <w:pPr>
        <w:spacing w:line="360" w:lineRule="auto"/>
        <w:jc w:val="center"/>
        <w:rPr>
          <w:b/>
          <w:color w:val="auto"/>
          <w:sz w:val="28"/>
          <w:szCs w:val="28"/>
        </w:rPr>
      </w:pPr>
      <w:r>
        <w:rPr>
          <w:rFonts w:hint="eastAsia" w:ascii="宋体" w:hAnsi="宋体"/>
          <w:color w:val="auto"/>
          <w:szCs w:val="21"/>
        </w:rPr>
        <w:t>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日</w:t>
      </w:r>
    </w:p>
    <w:p>
      <w:pPr>
        <w:spacing w:line="360" w:lineRule="auto"/>
        <w:jc w:val="center"/>
        <w:rPr>
          <w:b/>
          <w:color w:val="auto"/>
          <w:sz w:val="28"/>
          <w:szCs w:val="28"/>
        </w:rPr>
      </w:pPr>
    </w:p>
    <w:p>
      <w:pPr>
        <w:pStyle w:val="11"/>
        <w:rPr>
          <w:b/>
          <w:color w:val="auto"/>
          <w:sz w:val="28"/>
          <w:szCs w:val="28"/>
        </w:rPr>
      </w:pPr>
    </w:p>
    <w:p>
      <w:pPr>
        <w:rPr>
          <w:b/>
          <w:color w:val="auto"/>
          <w:sz w:val="28"/>
          <w:szCs w:val="28"/>
        </w:rPr>
      </w:pPr>
    </w:p>
    <w:p>
      <w:pPr>
        <w:pStyle w:val="11"/>
        <w:rPr>
          <w:b/>
          <w:color w:val="auto"/>
          <w:sz w:val="28"/>
          <w:szCs w:val="28"/>
        </w:rPr>
      </w:pPr>
    </w:p>
    <w:p>
      <w:pPr>
        <w:rPr>
          <w:b/>
          <w:color w:val="auto"/>
          <w:sz w:val="28"/>
          <w:szCs w:val="28"/>
        </w:rPr>
      </w:pPr>
    </w:p>
    <w:p>
      <w:pPr>
        <w:pStyle w:val="11"/>
        <w:rPr>
          <w:b/>
          <w:color w:val="auto"/>
          <w:sz w:val="28"/>
          <w:szCs w:val="28"/>
        </w:rPr>
      </w:pPr>
    </w:p>
    <w:p>
      <w:pPr>
        <w:rPr>
          <w:b/>
          <w:color w:val="auto"/>
          <w:sz w:val="28"/>
          <w:szCs w:val="28"/>
        </w:rPr>
      </w:pPr>
    </w:p>
    <w:p>
      <w:pPr>
        <w:pStyle w:val="11"/>
        <w:rPr>
          <w:b/>
          <w:color w:val="auto"/>
          <w:sz w:val="28"/>
          <w:szCs w:val="28"/>
        </w:rPr>
      </w:pPr>
    </w:p>
    <w:p>
      <w:pPr>
        <w:rPr>
          <w:b/>
          <w:color w:val="auto"/>
          <w:sz w:val="28"/>
          <w:szCs w:val="28"/>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ascii="宋体"/>
          <w:color w:val="auto"/>
          <w:sz w:val="24"/>
        </w:rPr>
      </w:pPr>
      <w:r>
        <w:rPr>
          <w:rFonts w:hint="eastAsia" w:ascii="宋体" w:hAnsi="宋体"/>
          <w:b/>
          <w:color w:val="auto"/>
          <w:sz w:val="28"/>
          <w:szCs w:val="28"/>
          <w:lang w:val="en-US" w:eastAsia="zh-CN"/>
        </w:rPr>
        <w:t>二</w:t>
      </w:r>
      <w:r>
        <w:rPr>
          <w:rFonts w:hint="eastAsia" w:ascii="宋体" w:hAnsi="宋体"/>
          <w:b/>
          <w:color w:val="auto"/>
          <w:sz w:val="28"/>
          <w:szCs w:val="28"/>
        </w:rPr>
        <w:t>、</w:t>
      </w:r>
      <w:r>
        <w:rPr>
          <w:rFonts w:hint="eastAsia" w:ascii="宋体" w:hAnsi="宋体"/>
          <w:b/>
          <w:color w:val="auto"/>
          <w:sz w:val="28"/>
          <w:szCs w:val="28"/>
          <w:lang w:val="en-US" w:eastAsia="zh-CN"/>
        </w:rPr>
        <w:t>技术</w:t>
      </w:r>
      <w:r>
        <w:rPr>
          <w:rFonts w:hint="eastAsia" w:ascii="宋体" w:hAnsi="宋体"/>
          <w:b/>
          <w:color w:val="auto"/>
          <w:sz w:val="28"/>
          <w:szCs w:val="28"/>
        </w:rPr>
        <w:t>标格式文件</w:t>
      </w:r>
    </w:p>
    <w:p>
      <w:pPr>
        <w:jc w:val="center"/>
        <w:rPr>
          <w:rFonts w:eastAsia="黑体"/>
          <w:color w:val="auto"/>
          <w:sz w:val="20"/>
        </w:rPr>
      </w:pPr>
    </w:p>
    <w:p>
      <w:pPr>
        <w:rPr>
          <w:rFonts w:ascii="宋体"/>
          <w:color w:val="auto"/>
          <w:sz w:val="20"/>
        </w:rPr>
      </w:pPr>
    </w:p>
    <w:p>
      <w:pPr>
        <w:rPr>
          <w:rFonts w:ascii="宋体"/>
          <w:color w:val="auto"/>
          <w:sz w:val="20"/>
        </w:rPr>
      </w:pPr>
    </w:p>
    <w:p>
      <w:pPr>
        <w:pStyle w:val="2"/>
        <w:rPr>
          <w:color w:val="auto"/>
        </w:rPr>
      </w:pPr>
    </w:p>
    <w:p>
      <w:pPr>
        <w:jc w:val="center"/>
        <w:rPr>
          <w:rFonts w:ascii="宋体"/>
          <w:b/>
          <w:color w:val="auto"/>
          <w:sz w:val="44"/>
          <w:szCs w:val="44"/>
        </w:rPr>
      </w:pPr>
      <w:r>
        <w:rPr>
          <w:rFonts w:hint="eastAsia" w:ascii="宋体"/>
          <w:b/>
          <w:color w:val="auto"/>
          <w:sz w:val="44"/>
          <w:szCs w:val="44"/>
          <w:lang w:val="en-US" w:eastAsia="zh-CN"/>
        </w:rPr>
        <w:t>技术</w:t>
      </w:r>
      <w:r>
        <w:rPr>
          <w:rFonts w:hint="eastAsia" w:ascii="宋体"/>
          <w:b/>
          <w:color w:val="auto"/>
          <w:sz w:val="44"/>
          <w:szCs w:val="44"/>
        </w:rPr>
        <w:t>标</w:t>
      </w:r>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二</w:t>
      </w:r>
      <w:r>
        <w:rPr>
          <w:rFonts w:hint="eastAsia" w:ascii="宋体"/>
          <w:color w:val="auto"/>
          <w:sz w:val="36"/>
          <w:szCs w:val="36"/>
        </w:rPr>
        <w:t>）</w:t>
      </w:r>
    </w:p>
    <w:p>
      <w:pPr>
        <w:jc w:val="center"/>
        <w:rPr>
          <w:rFonts w:ascii="宋体"/>
          <w:color w:val="auto"/>
          <w:sz w:val="36"/>
          <w:szCs w:val="36"/>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hint="eastAsia"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pStyle w:val="11"/>
        <w:rPr>
          <w:rFonts w:hint="eastAsia" w:ascii="宋体"/>
          <w:color w:val="auto"/>
          <w:sz w:val="28"/>
          <w:szCs w:val="28"/>
        </w:rPr>
      </w:pPr>
    </w:p>
    <w:p>
      <w:pPr>
        <w:rPr>
          <w:rFonts w:hint="eastAsia" w:ascii="宋体"/>
          <w:color w:val="auto"/>
          <w:sz w:val="28"/>
          <w:szCs w:val="28"/>
        </w:rPr>
      </w:pPr>
    </w:p>
    <w:p>
      <w:pPr>
        <w:rPr>
          <w:rFonts w:hint="eastAsia" w:ascii="宋体"/>
          <w:color w:val="auto"/>
          <w:sz w:val="28"/>
          <w:szCs w:val="28"/>
        </w:rPr>
      </w:pPr>
    </w:p>
    <w:p>
      <w:pPr>
        <w:pStyle w:val="9"/>
        <w:rPr>
          <w:rFonts w:hint="eastAsia"/>
          <w:color w:val="auto"/>
          <w:sz w:val="32"/>
          <w:szCs w:val="32"/>
        </w:rPr>
      </w:pPr>
      <w:bookmarkStart w:id="705" w:name="_Toc95223539"/>
      <w:r>
        <w:rPr>
          <w:rFonts w:hint="eastAsia"/>
          <w:color w:val="auto"/>
          <w:sz w:val="32"/>
          <w:szCs w:val="32"/>
        </w:rPr>
        <w:t>投标文件二：技术标目录</w:t>
      </w:r>
      <w:bookmarkEnd w:id="705"/>
    </w:p>
    <w:p>
      <w:pPr>
        <w:adjustRightInd w:val="0"/>
        <w:snapToGrid w:val="0"/>
        <w:spacing w:beforeLines="0" w:afterLines="0" w:line="560" w:lineRule="exact"/>
        <w:rPr>
          <w:rFonts w:hint="default" w:ascii="宋体" w:hAnsi="宋体" w:eastAsia="宋体"/>
          <w:color w:val="auto"/>
          <w:sz w:val="21"/>
          <w:szCs w:val="21"/>
        </w:rPr>
      </w:pPr>
      <w:r>
        <w:rPr>
          <w:rFonts w:hint="default" w:ascii="宋体" w:hAnsi="宋体" w:eastAsia="宋体"/>
          <w:color w:val="auto"/>
          <w:sz w:val="21"/>
          <w:szCs w:val="21"/>
        </w:rPr>
        <w:t>按评审要求提供</w:t>
      </w:r>
    </w:p>
    <w:p>
      <w:pPr>
        <w:pStyle w:val="11"/>
        <w:rPr>
          <w:color w:val="auto"/>
        </w:rPr>
      </w:pPr>
    </w:p>
    <w:p>
      <w:pPr>
        <w:jc w:val="center"/>
        <w:rPr>
          <w:b/>
          <w:color w:val="auto"/>
          <w:sz w:val="36"/>
          <w:szCs w:val="36"/>
        </w:rPr>
      </w:pPr>
    </w:p>
    <w:p>
      <w:pPr>
        <w:jc w:val="center"/>
        <w:rPr>
          <w:b/>
          <w:color w:val="auto"/>
          <w:sz w:val="36"/>
          <w:szCs w:val="36"/>
        </w:rPr>
      </w:pPr>
    </w:p>
    <w:bookmarkEnd w:id="703"/>
    <w:bookmarkEnd w:id="704"/>
    <w:p>
      <w:pPr>
        <w:wordWrap w:val="0"/>
        <w:spacing w:before="100" w:beforeAutospacing="1" w:after="100" w:afterAutospacing="1"/>
        <w:jc w:val="center"/>
        <w:rPr>
          <w:rFonts w:ascii="宋体" w:hAnsi="宋体"/>
          <w:b/>
          <w:color w:val="auto"/>
          <w:sz w:val="28"/>
          <w:szCs w:val="28"/>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hint="eastAsia" w:ascii="宋体" w:hAnsi="宋体"/>
          <w:b/>
          <w:color w:val="auto"/>
          <w:sz w:val="28"/>
          <w:szCs w:val="28"/>
          <w:lang w:val="en-US" w:eastAsia="zh-CN"/>
        </w:rPr>
      </w:pPr>
    </w:p>
    <w:p>
      <w:pPr>
        <w:jc w:val="center"/>
        <w:rPr>
          <w:rFonts w:ascii="宋体"/>
          <w:color w:val="auto"/>
          <w:sz w:val="24"/>
        </w:rPr>
      </w:pPr>
      <w:r>
        <w:rPr>
          <w:rFonts w:hint="eastAsia" w:ascii="宋体" w:hAnsi="宋体"/>
          <w:b/>
          <w:color w:val="auto"/>
          <w:sz w:val="28"/>
          <w:szCs w:val="28"/>
          <w:lang w:val="en-US" w:eastAsia="zh-CN"/>
        </w:rPr>
        <w:t>三</w:t>
      </w:r>
      <w:r>
        <w:rPr>
          <w:rFonts w:hint="eastAsia" w:ascii="宋体" w:hAnsi="宋体"/>
          <w:b/>
          <w:color w:val="auto"/>
          <w:sz w:val="28"/>
          <w:szCs w:val="28"/>
        </w:rPr>
        <w:t>、商务标格式文件</w:t>
      </w:r>
    </w:p>
    <w:p>
      <w:pPr>
        <w:jc w:val="center"/>
        <w:rPr>
          <w:rFonts w:eastAsia="黑体"/>
          <w:color w:val="auto"/>
          <w:sz w:val="20"/>
        </w:rPr>
      </w:pPr>
    </w:p>
    <w:p>
      <w:pPr>
        <w:rPr>
          <w:rFonts w:ascii="宋体"/>
          <w:color w:val="auto"/>
          <w:sz w:val="20"/>
        </w:rPr>
      </w:pPr>
    </w:p>
    <w:p>
      <w:pPr>
        <w:rPr>
          <w:rFonts w:ascii="宋体"/>
          <w:color w:val="auto"/>
          <w:sz w:val="20"/>
        </w:rPr>
      </w:pPr>
    </w:p>
    <w:p>
      <w:pPr>
        <w:pStyle w:val="2"/>
        <w:rPr>
          <w:color w:val="auto"/>
        </w:rPr>
      </w:pPr>
    </w:p>
    <w:p>
      <w:pPr>
        <w:jc w:val="center"/>
        <w:rPr>
          <w:rFonts w:ascii="宋体"/>
          <w:b/>
          <w:color w:val="auto"/>
          <w:sz w:val="44"/>
          <w:szCs w:val="44"/>
        </w:rPr>
      </w:pPr>
      <w:bookmarkStart w:id="706" w:name="_Toc449028954"/>
      <w:r>
        <w:rPr>
          <w:rFonts w:hint="eastAsia" w:ascii="宋体"/>
          <w:b/>
          <w:color w:val="auto"/>
          <w:sz w:val="44"/>
          <w:szCs w:val="44"/>
        </w:rPr>
        <w:t>商务标</w:t>
      </w:r>
      <w:bookmarkEnd w:id="706"/>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w:t>
      </w:r>
      <w:r>
        <w:rPr>
          <w:rFonts w:hint="eastAsia" w:ascii="宋体"/>
          <w:color w:val="auto"/>
          <w:sz w:val="36"/>
          <w:szCs w:val="36"/>
          <w:lang w:val="en-US" w:eastAsia="zh-CN"/>
        </w:rPr>
        <w:t>三</w:t>
      </w:r>
      <w:r>
        <w:rPr>
          <w:rFonts w:hint="eastAsia" w:ascii="宋体"/>
          <w:color w:val="auto"/>
          <w:sz w:val="36"/>
          <w:szCs w:val="36"/>
        </w:rPr>
        <w:t>）</w:t>
      </w:r>
    </w:p>
    <w:p>
      <w:pPr>
        <w:jc w:val="center"/>
        <w:rPr>
          <w:rFonts w:ascii="宋体"/>
          <w:color w:val="auto"/>
          <w:sz w:val="36"/>
          <w:szCs w:val="36"/>
        </w:rPr>
      </w:pPr>
    </w:p>
    <w:p>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hint="eastAsia" w:ascii="宋体"/>
          <w:color w:val="auto"/>
          <w:sz w:val="28"/>
          <w:szCs w:val="28"/>
          <w:u w:val="single"/>
        </w:rPr>
        <w:t xml:space="preserve">                              </w:t>
      </w:r>
      <w:r>
        <w:rPr>
          <w:rFonts w:hint="eastAsia" w:ascii="宋体"/>
          <w:color w:val="auto"/>
          <w:sz w:val="28"/>
          <w:szCs w:val="28"/>
        </w:rPr>
        <w:t>（盖单位章）</w:t>
      </w:r>
    </w:p>
    <w:p>
      <w:pPr>
        <w:ind w:firstLine="700" w:firstLineChars="250"/>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36"/>
          <w:szCs w:val="36"/>
        </w:rPr>
      </w:pPr>
    </w:p>
    <w:p>
      <w:pPr>
        <w:jc w:val="center"/>
        <w:rPr>
          <w:b/>
          <w:color w:val="auto"/>
          <w:sz w:val="44"/>
          <w:szCs w:val="44"/>
        </w:rPr>
      </w:pPr>
      <w:r>
        <w:rPr>
          <w:rFonts w:hint="eastAsia"/>
          <w:b/>
          <w:color w:val="auto"/>
          <w:sz w:val="36"/>
          <w:szCs w:val="36"/>
        </w:rPr>
        <w:t>目   录</w:t>
      </w:r>
    </w:p>
    <w:p>
      <w:pPr>
        <w:spacing w:line="400" w:lineRule="exact"/>
        <w:ind w:firstLine="562" w:firstLineChars="200"/>
        <w:rPr>
          <w:rFonts w:ascii="宋体" w:hAnsi="宋体" w:cs="宋体"/>
          <w:b/>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（1）开标一览表（格式见附件）；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（2）投标函（格式见附件）；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（3）分项报价清单（格式见附件）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（4）招标文件中要求的资信评审和资信评分的支持资料；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（5）投标人认为需要提供的其他资信证明材料。</w:t>
      </w: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jc w:val="center"/>
        <w:rPr>
          <w:rFonts w:ascii="宋体" w:hAnsi="宋体"/>
          <w:b/>
          <w:color w:val="auto"/>
          <w:sz w:val="30"/>
          <w:szCs w:val="30"/>
        </w:rPr>
      </w:pPr>
    </w:p>
    <w:p>
      <w:pPr>
        <w:spacing w:line="400" w:lineRule="exact"/>
        <w:ind w:firstLine="4130" w:firstLineChars="935"/>
        <w:rPr>
          <w:b/>
          <w:color w:val="auto"/>
          <w:sz w:val="44"/>
          <w:szCs w:val="44"/>
        </w:rPr>
      </w:pPr>
    </w:p>
    <w:p>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pPr>
        <w:spacing w:line="360" w:lineRule="exact"/>
        <w:ind w:firstLine="354" w:firstLineChars="147"/>
        <w:rPr>
          <w:rFonts w:ascii="宋体"/>
          <w:b/>
          <w:color w:val="auto"/>
          <w:sz w:val="24"/>
        </w:rPr>
      </w:pPr>
    </w:p>
    <w:tbl>
      <w:tblPr>
        <w:tblStyle w:val="50"/>
        <w:tblW w:w="8755"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color w:val="auto"/>
                <w:sz w:val="24"/>
              </w:rPr>
            </w:pPr>
            <w:r>
              <w:rPr>
                <w:rFonts w:hint="eastAsia"/>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2146" w:type="dxa"/>
            <w:tcBorders>
              <w:top w:val="single" w:color="auto" w:sz="12" w:space="0"/>
              <w:right w:val="single" w:color="auto" w:sz="12" w:space="0"/>
            </w:tcBorders>
            <w:vAlign w:val="center"/>
          </w:tcPr>
          <w:p>
            <w:pPr>
              <w:spacing w:line="700" w:lineRule="exact"/>
              <w:jc w:val="center"/>
              <w:rPr>
                <w:rFonts w:ascii="宋体"/>
                <w:color w:val="auto"/>
                <w:sz w:val="24"/>
              </w:rPr>
            </w:pPr>
            <w:r>
              <w:rPr>
                <w:rFonts w:hint="eastAsia" w:ascii="宋体"/>
                <w:color w:val="auto"/>
                <w:sz w:val="24"/>
              </w:rPr>
              <w:t>项目编号</w:t>
            </w:r>
          </w:p>
        </w:tc>
        <w:tc>
          <w:tcPr>
            <w:tcW w:w="6609" w:type="dxa"/>
            <w:tcBorders>
              <w:top w:val="single" w:color="auto" w:sz="12" w:space="0"/>
              <w:left w:val="single" w:color="auto" w:sz="12" w:space="0"/>
            </w:tcBorders>
            <w:vAlign w:val="center"/>
          </w:tcPr>
          <w:p>
            <w:pPr>
              <w:spacing w:line="700" w:lineRule="exact"/>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2146" w:type="dxa"/>
            <w:tcBorders>
              <w:right w:val="single" w:color="auto" w:sz="12" w:space="0"/>
            </w:tcBorders>
            <w:vAlign w:val="center"/>
          </w:tcPr>
          <w:p>
            <w:pPr>
              <w:spacing w:line="700" w:lineRule="exact"/>
              <w:ind w:firstLine="120" w:firstLineChars="50"/>
              <w:rPr>
                <w:rFonts w:ascii="宋体"/>
                <w:color w:val="auto"/>
                <w:sz w:val="24"/>
              </w:rPr>
            </w:pPr>
            <w:r>
              <w:rPr>
                <w:rFonts w:hint="eastAsia" w:ascii="宋体"/>
                <w:color w:val="auto"/>
                <w:sz w:val="24"/>
              </w:rPr>
              <w:t>投标人名称</w:t>
            </w:r>
          </w:p>
        </w:tc>
        <w:tc>
          <w:tcPr>
            <w:tcW w:w="6609" w:type="dxa"/>
            <w:tcBorders>
              <w:left w:val="single" w:color="auto" w:sz="12" w:space="0"/>
            </w:tcBorders>
          </w:tcPr>
          <w:p>
            <w:pPr>
              <w:pStyle w:val="27"/>
              <w:spacing w:line="700" w:lineRule="exact"/>
              <w:ind w:left="86" w:leftChars="41"/>
              <w:rPr>
                <w:rFonts w:ascii="宋体" w:eastAsia="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2146" w:type="dxa"/>
            <w:tcBorders>
              <w:right w:val="single" w:color="auto" w:sz="12" w:space="0"/>
            </w:tcBorders>
            <w:vAlign w:val="center"/>
          </w:tcPr>
          <w:p>
            <w:pPr>
              <w:spacing w:line="700" w:lineRule="exact"/>
              <w:jc w:val="center"/>
              <w:rPr>
                <w:rFonts w:ascii="宋体"/>
                <w:color w:val="auto"/>
                <w:sz w:val="24"/>
              </w:rPr>
            </w:pPr>
            <w:r>
              <w:rPr>
                <w:rFonts w:hint="eastAsia" w:ascii="宋体"/>
                <w:color w:val="auto"/>
                <w:sz w:val="24"/>
              </w:rPr>
              <w:t>投标报价/服务期</w:t>
            </w:r>
          </w:p>
        </w:tc>
        <w:tc>
          <w:tcPr>
            <w:tcW w:w="6609" w:type="dxa"/>
            <w:tcBorders>
              <w:left w:val="single" w:color="auto" w:sz="12" w:space="0"/>
            </w:tcBorders>
            <w:vAlign w:val="center"/>
          </w:tcPr>
          <w:p>
            <w:pPr>
              <w:spacing w:line="360" w:lineRule="auto"/>
              <w:rPr>
                <w:rFonts w:ascii="宋体"/>
                <w:color w:val="auto"/>
                <w:sz w:val="24"/>
              </w:rPr>
            </w:pPr>
            <w:r>
              <w:rPr>
                <w:rFonts w:hint="eastAsia" w:ascii="宋体"/>
                <w:color w:val="auto"/>
                <w:sz w:val="24"/>
              </w:rPr>
              <w:t>投标报价 （大写）：</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r>
              <w:rPr>
                <w:rFonts w:hint="eastAsia" w:ascii="宋体"/>
                <w:color w:val="auto"/>
                <w:sz w:val="24"/>
              </w:rPr>
              <w:t>(小写) ：</w:t>
            </w:r>
            <w:r>
              <w:rPr>
                <w:rFonts w:hint="eastAsia" w:ascii="宋体"/>
                <w:color w:val="auto"/>
                <w:sz w:val="24"/>
                <w:u w:val="single"/>
              </w:rPr>
              <w:t xml:space="preserve">                    </w:t>
            </w:r>
            <w:r>
              <w:rPr>
                <w:rFonts w:hint="eastAsia" w:ascii="宋体"/>
                <w:color w:val="auto"/>
                <w:sz w:val="24"/>
              </w:rPr>
              <w:t>元</w:t>
            </w:r>
          </w:p>
          <w:p>
            <w:pPr>
              <w:spacing w:line="360" w:lineRule="auto"/>
              <w:ind w:firstLine="1080" w:firstLineChars="450"/>
              <w:rPr>
                <w:rFonts w:ascii="宋体"/>
                <w:color w:val="auto"/>
                <w:sz w:val="24"/>
              </w:rPr>
            </w:pPr>
          </w:p>
          <w:p>
            <w:pPr>
              <w:pStyle w:val="3"/>
              <w:ind w:firstLine="0"/>
              <w:rPr>
                <w:color w:val="auto"/>
              </w:rPr>
            </w:pPr>
            <w:r>
              <w:rPr>
                <w:rFonts w:hint="eastAsia" w:ascii="宋体"/>
                <w:color w:val="auto"/>
                <w:sz w:val="24"/>
              </w:rPr>
              <w:t>服务期：</w:t>
            </w:r>
            <w:r>
              <w:rPr>
                <w:rFonts w:hint="eastAsia" w:ascii="宋体"/>
                <w:color w:val="auto"/>
                <w:sz w:val="24"/>
                <w:u w:val="single"/>
              </w:rPr>
              <w:t xml:space="preserve">                   。</w:t>
            </w:r>
          </w:p>
        </w:tc>
      </w:tr>
    </w:tbl>
    <w:p>
      <w:pPr>
        <w:snapToGrid w:val="0"/>
        <w:spacing w:line="460" w:lineRule="exact"/>
        <w:ind w:left="2940" w:leftChars="1400" w:firstLine="723" w:firstLineChars="300"/>
        <w:rPr>
          <w:rFonts w:ascii="宋体"/>
          <w:b/>
          <w:color w:val="auto"/>
          <w:sz w:val="24"/>
        </w:rPr>
      </w:pPr>
    </w:p>
    <w:p>
      <w:pPr>
        <w:rPr>
          <w:rFonts w:ascii="宋体"/>
          <w:color w:val="auto"/>
          <w:sz w:val="24"/>
        </w:rPr>
      </w:pPr>
      <w:r>
        <w:rPr>
          <w:rFonts w:hint="eastAsia" w:ascii="宋体"/>
          <w:color w:val="auto"/>
          <w:sz w:val="24"/>
        </w:rPr>
        <w:t>法定代表人（签字或盖章）：         投标人（签字或盖章）：</w:t>
      </w:r>
    </w:p>
    <w:p>
      <w:pPr>
        <w:snapToGrid w:val="0"/>
        <w:spacing w:before="312" w:beforeLines="100" w:after="312" w:afterLines="100" w:line="360" w:lineRule="auto"/>
        <w:jc w:val="center"/>
        <w:rPr>
          <w:rFonts w:cs="Arial"/>
          <w:b/>
          <w:bCs/>
          <w:color w:val="auto"/>
          <w:sz w:val="30"/>
          <w:szCs w:val="30"/>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rPr>
        <w:t xml:space="preserve">                                      日  期：</w:t>
      </w:r>
      <w:r>
        <w:rPr>
          <w:rFonts w:hint="eastAsia" w:ascii="宋体" w:hAnsi="宋体"/>
          <w:color w:val="auto"/>
          <w:sz w:val="24"/>
          <w:u w:val="single"/>
        </w:rPr>
        <w:t xml:space="preserve">      </w:t>
      </w:r>
      <w:r>
        <w:rPr>
          <w:rFonts w:hint="eastAsia" w:ascii="宋体"/>
          <w:color w:val="auto"/>
          <w:sz w:val="24"/>
        </w:rPr>
        <w:t>年</w:t>
      </w:r>
      <w:r>
        <w:rPr>
          <w:rFonts w:hint="eastAsia" w:ascii="宋体" w:hAnsi="宋体"/>
          <w:color w:val="auto"/>
          <w:sz w:val="24"/>
          <w:u w:val="single"/>
        </w:rPr>
        <w:t xml:space="preserve">   </w:t>
      </w:r>
      <w:r>
        <w:rPr>
          <w:rFonts w:hint="eastAsia" w:ascii="宋体"/>
          <w:color w:val="auto"/>
          <w:sz w:val="24"/>
        </w:rPr>
        <w:t>月</w:t>
      </w:r>
      <w:r>
        <w:rPr>
          <w:rFonts w:hint="eastAsia" w:ascii="宋体" w:hAnsi="宋体"/>
          <w:color w:val="auto"/>
          <w:sz w:val="24"/>
          <w:u w:val="single"/>
        </w:rPr>
        <w:t xml:space="preserve">   </w:t>
      </w:r>
      <w:r>
        <w:rPr>
          <w:rFonts w:hint="eastAsia" w:ascii="宋体"/>
          <w:color w:val="auto"/>
          <w:sz w:val="24"/>
        </w:rPr>
        <w:t xml:space="preserve">日 </w:t>
      </w:r>
    </w:p>
    <w:p>
      <w:pPr>
        <w:spacing w:line="360" w:lineRule="exact"/>
        <w:ind w:firstLine="443" w:firstLineChars="147"/>
        <w:rPr>
          <w:rFonts w:ascii="宋体" w:hAnsi="宋体"/>
          <w:b/>
          <w:color w:val="auto"/>
          <w:sz w:val="30"/>
          <w:szCs w:val="30"/>
        </w:rPr>
      </w:pPr>
    </w:p>
    <w:p>
      <w:pPr>
        <w:spacing w:line="360" w:lineRule="exact"/>
        <w:jc w:val="center"/>
        <w:rPr>
          <w:rFonts w:ascii="宋体"/>
          <w:b/>
          <w:color w:val="auto"/>
          <w:sz w:val="36"/>
          <w:szCs w:val="36"/>
        </w:rPr>
      </w:pPr>
      <w:r>
        <w:rPr>
          <w:rFonts w:hint="eastAsia" w:ascii="宋体"/>
          <w:b/>
          <w:color w:val="auto"/>
          <w:sz w:val="36"/>
          <w:szCs w:val="36"/>
        </w:rPr>
        <w:t>投  标  函</w:t>
      </w:r>
    </w:p>
    <w:p>
      <w:pPr>
        <w:spacing w:line="440" w:lineRule="exact"/>
        <w:rPr>
          <w:rFonts w:ascii="宋体"/>
          <w:color w:val="auto"/>
          <w:sz w:val="24"/>
        </w:rPr>
      </w:pPr>
    </w:p>
    <w:p>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(采购人)       </w:t>
      </w:r>
      <w:r>
        <w:rPr>
          <w:rFonts w:hint="eastAsia" w:ascii="宋体"/>
          <w:color w:val="auto"/>
          <w:sz w:val="24"/>
        </w:rPr>
        <w:t xml:space="preserve"> </w:t>
      </w:r>
    </w:p>
    <w:p>
      <w:pPr>
        <w:spacing w:line="440" w:lineRule="exact"/>
        <w:ind w:firstLine="480" w:firstLineChars="200"/>
        <w:rPr>
          <w:rFonts w:ascii="宋体"/>
          <w:color w:val="auto"/>
          <w:sz w:val="24"/>
        </w:rPr>
      </w:pPr>
      <w:r>
        <w:rPr>
          <w:rFonts w:hint="eastAsia" w:ascii="宋体"/>
          <w:color w:val="auto"/>
          <w:sz w:val="24"/>
        </w:rPr>
        <w:t>1.我们决定参加贵单位组织的“</w:t>
      </w:r>
      <w:r>
        <w:rPr>
          <w:rFonts w:hint="eastAsia" w:ascii="宋体"/>
          <w:color w:val="auto"/>
          <w:sz w:val="24"/>
          <w:u w:val="single"/>
        </w:rPr>
        <w:t xml:space="preserve"> （项目名称）    </w:t>
      </w:r>
      <w:r>
        <w:rPr>
          <w:rFonts w:hint="eastAsia" w:ascii="宋体"/>
          <w:color w:val="auto"/>
          <w:sz w:val="24"/>
        </w:rPr>
        <w:t>（编号：</w:t>
      </w:r>
      <w:r>
        <w:rPr>
          <w:rFonts w:hint="eastAsia" w:ascii="宋体"/>
          <w:color w:val="auto"/>
          <w:sz w:val="24"/>
          <w:u w:val="single"/>
        </w:rPr>
        <w:t xml:space="preserve">             </w:t>
      </w:r>
      <w:r>
        <w:rPr>
          <w:rFonts w:hint="eastAsia" w:ascii="宋体"/>
          <w:color w:val="auto"/>
          <w:sz w:val="24"/>
        </w:rPr>
        <w:t xml:space="preserve">）”的采购。我方授权 </w:t>
      </w:r>
      <w:r>
        <w:rPr>
          <w:rFonts w:hint="eastAsia" w:ascii="宋体"/>
          <w:color w:val="auto"/>
          <w:sz w:val="24"/>
          <w:u w:val="single"/>
        </w:rPr>
        <w:t xml:space="preserve">              </w:t>
      </w:r>
      <w:r>
        <w:rPr>
          <w:rFonts w:hint="eastAsia" w:ascii="宋体"/>
          <w:color w:val="auto"/>
          <w:sz w:val="24"/>
        </w:rPr>
        <w:t>(姓名和职务)代表我方</w:t>
      </w:r>
      <w:r>
        <w:rPr>
          <w:rFonts w:hint="eastAsia" w:ascii="宋体"/>
          <w:color w:val="auto"/>
          <w:sz w:val="24"/>
          <w:u w:val="single"/>
        </w:rPr>
        <w:t xml:space="preserve">               </w:t>
      </w:r>
      <w:r>
        <w:rPr>
          <w:rFonts w:hint="eastAsia" w:ascii="宋体"/>
          <w:color w:val="auto"/>
          <w:sz w:val="24"/>
        </w:rPr>
        <w:t>（投标人的名称）全权处理本项目投标的有关事宜。</w:t>
      </w:r>
    </w:p>
    <w:p>
      <w:pPr>
        <w:spacing w:line="440" w:lineRule="exact"/>
        <w:ind w:firstLine="480" w:firstLineChars="200"/>
        <w:rPr>
          <w:rFonts w:ascii="宋体"/>
          <w:color w:val="auto"/>
          <w:sz w:val="24"/>
        </w:rPr>
      </w:pPr>
      <w:r>
        <w:rPr>
          <w:rFonts w:hint="eastAsia" w:ascii="宋体"/>
          <w:color w:val="auto"/>
          <w:sz w:val="24"/>
        </w:rPr>
        <w:t xml:space="preserve">2.我方愿意按照招标文件规定的各项要求，向采购人提供“ </w:t>
      </w:r>
      <w:r>
        <w:rPr>
          <w:rFonts w:hint="eastAsia" w:ascii="宋体"/>
          <w:color w:val="auto"/>
          <w:sz w:val="24"/>
          <w:u w:val="single"/>
        </w:rPr>
        <w:t xml:space="preserve">     </w:t>
      </w:r>
      <w:r>
        <w:rPr>
          <w:rFonts w:hint="eastAsia" w:ascii="宋体"/>
          <w:color w:val="auto"/>
          <w:sz w:val="24"/>
        </w:rPr>
        <w:t>（项目编号）”项目的服务，总投标价为</w:t>
      </w:r>
      <w:r>
        <w:rPr>
          <w:rFonts w:hint="eastAsia" w:ascii="宋体"/>
          <w:color w:val="auto"/>
          <w:sz w:val="24"/>
          <w:u w:val="single"/>
        </w:rPr>
        <w:t xml:space="preserve">人民币（大写）      （小写）         </w:t>
      </w:r>
      <w:r>
        <w:rPr>
          <w:rFonts w:hint="eastAsia" w:ascii="宋体"/>
          <w:color w:val="auto"/>
          <w:sz w:val="24"/>
        </w:rPr>
        <w:t xml:space="preserve"> ；服务期 ：</w:t>
      </w:r>
      <w:r>
        <w:rPr>
          <w:rFonts w:hint="eastAsia" w:ascii="宋体"/>
          <w:color w:val="auto"/>
          <w:sz w:val="24"/>
          <w:u w:val="single"/>
        </w:rPr>
        <w:t xml:space="preserve">     </w:t>
      </w:r>
      <w:r>
        <w:rPr>
          <w:rFonts w:hint="eastAsia" w:ascii="宋体"/>
          <w:color w:val="auto"/>
          <w:sz w:val="24"/>
        </w:rPr>
        <w:t>。</w:t>
      </w:r>
    </w:p>
    <w:p>
      <w:pPr>
        <w:spacing w:line="440" w:lineRule="exact"/>
        <w:ind w:firstLine="480" w:firstLineChars="200"/>
        <w:rPr>
          <w:rFonts w:ascii="宋体"/>
          <w:color w:val="auto"/>
          <w:sz w:val="24"/>
        </w:rPr>
      </w:pPr>
      <w:r>
        <w:rPr>
          <w:rFonts w:hint="eastAsia" w:ascii="宋体"/>
          <w:color w:val="auto"/>
          <w:sz w:val="24"/>
        </w:rPr>
        <w:t>3.一旦我方成为合同签字人，我方将严格履行合同规定的责任和义务。</w:t>
      </w:r>
    </w:p>
    <w:p>
      <w:pPr>
        <w:spacing w:line="440" w:lineRule="exact"/>
        <w:ind w:firstLine="480" w:firstLineChars="200"/>
        <w:rPr>
          <w:rFonts w:ascii="宋体"/>
          <w:color w:val="auto"/>
          <w:sz w:val="24"/>
        </w:rPr>
      </w:pPr>
      <w:r>
        <w:rPr>
          <w:rFonts w:hint="eastAsia" w:ascii="宋体"/>
          <w:color w:val="auto"/>
          <w:sz w:val="24"/>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rPr>
      </w:pPr>
      <w:r>
        <w:rPr>
          <w:rFonts w:hint="eastAsia" w:ascii="宋体"/>
          <w:color w:val="auto"/>
          <w:sz w:val="24"/>
        </w:rPr>
        <w:t>5、我单位提供如下通讯地址：</w:t>
      </w:r>
      <w:r>
        <w:rPr>
          <w:rFonts w:hint="eastAsia" w:ascii="宋体"/>
          <w:color w:val="auto"/>
          <w:sz w:val="24"/>
          <w:u w:val="single"/>
        </w:rPr>
        <w:t xml:space="preserve">              </w:t>
      </w:r>
      <w:r>
        <w:rPr>
          <w:rFonts w:hint="eastAsia" w:ascii="宋体"/>
          <w:color w:val="auto"/>
          <w:sz w:val="24"/>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color w:val="auto"/>
          <w:sz w:val="24"/>
        </w:rPr>
      </w:pPr>
      <w:r>
        <w:rPr>
          <w:rFonts w:hint="eastAsia" w:ascii="宋体"/>
          <w:color w:val="auto"/>
          <w:sz w:val="24"/>
        </w:rPr>
        <w:t> </w:t>
      </w:r>
    </w:p>
    <w:p>
      <w:pPr>
        <w:spacing w:line="440" w:lineRule="exact"/>
        <w:jc w:val="right"/>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（盖单位章）</w:t>
      </w:r>
    </w:p>
    <w:p>
      <w:pPr>
        <w:spacing w:line="440" w:lineRule="exact"/>
        <w:jc w:val="right"/>
        <w:rPr>
          <w:rFonts w:ascii="宋体"/>
          <w:color w:val="auto"/>
          <w:sz w:val="24"/>
        </w:rPr>
      </w:pPr>
    </w:p>
    <w:p>
      <w:pPr>
        <w:spacing w:line="440" w:lineRule="exact"/>
        <w:jc w:val="right"/>
        <w:rPr>
          <w:rFonts w:ascii="宋体"/>
          <w:color w:val="auto"/>
          <w:sz w:val="24"/>
        </w:rPr>
      </w:pPr>
      <w:r>
        <w:rPr>
          <w:rFonts w:hint="eastAsia" w:ascii="宋体"/>
          <w:color w:val="auto"/>
          <w:sz w:val="24"/>
        </w:rPr>
        <w:t>投标人法定代表人：</w:t>
      </w:r>
      <w:r>
        <w:rPr>
          <w:rFonts w:hint="eastAsia" w:ascii="宋体"/>
          <w:color w:val="auto"/>
          <w:sz w:val="24"/>
          <w:u w:val="single"/>
        </w:rPr>
        <w:t xml:space="preserve">                      </w:t>
      </w:r>
      <w:r>
        <w:rPr>
          <w:rFonts w:hint="eastAsia" w:ascii="宋体"/>
          <w:color w:val="auto"/>
          <w:sz w:val="24"/>
        </w:rPr>
        <w:t>（签字或盖章）</w:t>
      </w:r>
    </w:p>
    <w:p>
      <w:pPr>
        <w:spacing w:line="440" w:lineRule="exact"/>
        <w:ind w:firstLine="3240" w:firstLineChars="1350"/>
        <w:rPr>
          <w:rFonts w:ascii="宋体"/>
          <w:color w:val="auto"/>
          <w:sz w:val="24"/>
        </w:rPr>
      </w:pPr>
      <w:r>
        <w:rPr>
          <w:rFonts w:hint="eastAsia" w:ascii="宋体"/>
          <w:color w:val="auto"/>
          <w:sz w:val="24"/>
        </w:rPr>
        <w:t>日    期：</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通讯地址：</w:t>
      </w:r>
      <w:r>
        <w:rPr>
          <w:rFonts w:hint="eastAsia" w:ascii="宋体"/>
          <w:color w:val="auto"/>
          <w:sz w:val="24"/>
          <w:u w:val="single"/>
        </w:rPr>
        <w:t xml:space="preserve">                 </w:t>
      </w:r>
    </w:p>
    <w:p>
      <w:pPr>
        <w:spacing w:line="440" w:lineRule="exact"/>
        <w:ind w:firstLine="3240" w:firstLineChars="1350"/>
        <w:rPr>
          <w:rFonts w:ascii="宋体"/>
          <w:color w:val="auto"/>
          <w:sz w:val="24"/>
        </w:rPr>
      </w:pPr>
      <w:r>
        <w:rPr>
          <w:rFonts w:hint="eastAsia" w:ascii="宋体"/>
          <w:color w:val="auto"/>
          <w:sz w:val="24"/>
        </w:rPr>
        <w:t>电    话：</w:t>
      </w:r>
      <w:r>
        <w:rPr>
          <w:rFonts w:hint="eastAsia" w:ascii="宋体"/>
          <w:color w:val="auto"/>
          <w:sz w:val="24"/>
          <w:u w:val="single"/>
        </w:rPr>
        <w:t xml:space="preserve">                 </w:t>
      </w:r>
    </w:p>
    <w:p>
      <w:pPr>
        <w:spacing w:line="360" w:lineRule="exact"/>
        <w:rPr>
          <w:rFonts w:ascii="宋体"/>
          <w:b/>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p>
    <w:p>
      <w:pPr>
        <w:snapToGrid w:val="0"/>
        <w:spacing w:before="156" w:beforeLines="50" w:after="156" w:afterLines="50" w:line="440" w:lineRule="exact"/>
        <w:jc w:val="center"/>
        <w:rPr>
          <w:rFonts w:ascii="宋体" w:cs="宋体"/>
          <w:b/>
          <w:bCs/>
          <w:color w:val="auto"/>
          <w:sz w:val="28"/>
          <w:szCs w:val="28"/>
        </w:rPr>
      </w:pPr>
      <w:r>
        <w:rPr>
          <w:rFonts w:hint="eastAsia" w:ascii="宋体" w:cs="宋体"/>
          <w:b/>
          <w:bCs/>
          <w:color w:val="auto"/>
          <w:sz w:val="28"/>
          <w:szCs w:val="28"/>
        </w:rPr>
        <w:t>分项报价清单</w:t>
      </w:r>
    </w:p>
    <w:tbl>
      <w:tblPr>
        <w:tblStyle w:val="50"/>
        <w:tblW w:w="9912" w:type="dxa"/>
        <w:tblInd w:w="-3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21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vAlign w:val="center"/>
          </w:tcPr>
          <w:p>
            <w:pPr>
              <w:spacing w:line="300" w:lineRule="exact"/>
              <w:jc w:val="center"/>
              <w:rPr>
                <w:rFonts w:ascii="宋体" w:hAnsi="宋体"/>
                <w:color w:val="auto"/>
                <w:szCs w:val="21"/>
              </w:rPr>
            </w:pPr>
            <w:r>
              <w:rPr>
                <w:rFonts w:hint="eastAsia" w:ascii="宋体" w:hAnsi="宋体"/>
                <w:color w:val="auto"/>
                <w:szCs w:val="21"/>
              </w:rPr>
              <w:t>序号</w:t>
            </w:r>
          </w:p>
        </w:tc>
        <w:tc>
          <w:tcPr>
            <w:tcW w:w="2038" w:type="dxa"/>
            <w:tcBorders>
              <w:righ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产品名称</w:t>
            </w:r>
          </w:p>
        </w:tc>
        <w:tc>
          <w:tcPr>
            <w:tcW w:w="1242"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规格型号</w:t>
            </w:r>
          </w:p>
          <w:p>
            <w:pPr>
              <w:spacing w:line="300" w:lineRule="exact"/>
              <w:jc w:val="center"/>
              <w:rPr>
                <w:rFonts w:ascii="宋体" w:hAnsi="宋体"/>
                <w:color w:val="auto"/>
                <w:szCs w:val="21"/>
              </w:rPr>
            </w:pPr>
            <w:r>
              <w:rPr>
                <w:rFonts w:hint="eastAsia" w:ascii="宋体" w:hAnsi="宋体"/>
                <w:color w:val="auto"/>
                <w:szCs w:val="21"/>
              </w:rPr>
              <w:t>品牌（</w:t>
            </w:r>
            <w:r>
              <w:rPr>
                <w:rFonts w:hint="eastAsia" w:ascii="宋体"/>
                <w:color w:val="auto"/>
                <w:szCs w:val="21"/>
              </w:rPr>
              <w:t>生产厂家</w:t>
            </w:r>
            <w:r>
              <w:rPr>
                <w:rFonts w:hint="eastAsia" w:ascii="宋体" w:hAnsi="宋体"/>
                <w:color w:val="auto"/>
                <w:szCs w:val="21"/>
              </w:rPr>
              <w:t>）</w:t>
            </w:r>
          </w:p>
        </w:tc>
        <w:tc>
          <w:tcPr>
            <w:tcW w:w="784" w:type="dxa"/>
            <w:vAlign w:val="center"/>
          </w:tcPr>
          <w:p>
            <w:pPr>
              <w:spacing w:line="300" w:lineRule="exact"/>
              <w:jc w:val="center"/>
              <w:rPr>
                <w:rFonts w:ascii="宋体" w:hAnsi="宋体"/>
                <w:color w:val="auto"/>
                <w:szCs w:val="21"/>
              </w:rPr>
            </w:pPr>
            <w:r>
              <w:rPr>
                <w:rFonts w:hint="eastAsia" w:ascii="宋体" w:hAnsi="宋体"/>
                <w:color w:val="auto"/>
                <w:szCs w:val="21"/>
              </w:rPr>
              <w:t>单位</w:t>
            </w:r>
          </w:p>
        </w:tc>
        <w:tc>
          <w:tcPr>
            <w:tcW w:w="782" w:type="dxa"/>
            <w:vAlign w:val="center"/>
          </w:tcPr>
          <w:p>
            <w:pPr>
              <w:spacing w:line="300" w:lineRule="exact"/>
              <w:jc w:val="center"/>
              <w:rPr>
                <w:rFonts w:ascii="宋体" w:hAnsi="宋体"/>
                <w:color w:val="auto"/>
                <w:szCs w:val="21"/>
              </w:rPr>
            </w:pPr>
            <w:r>
              <w:rPr>
                <w:rFonts w:hint="eastAsia" w:ascii="宋体" w:hAnsi="宋体"/>
                <w:color w:val="auto"/>
                <w:szCs w:val="21"/>
              </w:rPr>
              <w:t>数量</w:t>
            </w:r>
          </w:p>
        </w:tc>
        <w:tc>
          <w:tcPr>
            <w:tcW w:w="898"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单 价（元）</w:t>
            </w:r>
          </w:p>
        </w:tc>
        <w:tc>
          <w:tcPr>
            <w:tcW w:w="1368" w:type="dxa"/>
            <w:vAlign w:val="center"/>
          </w:tcPr>
          <w:p>
            <w:pPr>
              <w:spacing w:line="300" w:lineRule="exact"/>
              <w:jc w:val="center"/>
              <w:rPr>
                <w:rFonts w:ascii="宋体" w:hAnsi="宋体"/>
                <w:color w:val="auto"/>
                <w:szCs w:val="21"/>
              </w:rPr>
            </w:pPr>
            <w:r>
              <w:rPr>
                <w:rFonts w:hint="eastAsia" w:ascii="宋体" w:hAnsi="宋体"/>
                <w:color w:val="auto"/>
                <w:szCs w:val="21"/>
              </w:rPr>
              <w:t>合 价（元）</w:t>
            </w:r>
          </w:p>
        </w:tc>
        <w:tc>
          <w:tcPr>
            <w:tcW w:w="2157" w:type="dxa"/>
            <w:vAlign w:val="center"/>
          </w:tcPr>
          <w:p>
            <w:pPr>
              <w:spacing w:line="300" w:lineRule="exact"/>
              <w:ind w:left="-80" w:leftChars="-38" w:right="-94" w:rightChars="-45"/>
              <w:jc w:val="center"/>
              <w:rPr>
                <w:rFonts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1</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2</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rPr>
            </w:pPr>
            <w:r>
              <w:rPr>
                <w:rFonts w:hint="eastAsia" w:ascii="宋体" w:hAnsi="宋体"/>
                <w:color w:val="auto"/>
                <w:szCs w:val="21"/>
              </w:rPr>
              <w:t>...</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rPr>
            </w:pPr>
          </w:p>
        </w:tc>
        <w:tc>
          <w:tcPr>
            <w:tcW w:w="1242" w:type="dxa"/>
            <w:tcBorders>
              <w:left w:val="single" w:color="auto" w:sz="4" w:space="0"/>
            </w:tcBorders>
            <w:vAlign w:val="center"/>
          </w:tcPr>
          <w:p>
            <w:pPr>
              <w:spacing w:line="300" w:lineRule="exact"/>
              <w:jc w:val="center"/>
              <w:rPr>
                <w:rFonts w:ascii="宋体" w:hAnsi="宋体"/>
                <w:color w:val="auto"/>
                <w:sz w:val="24"/>
              </w:rPr>
            </w:pPr>
          </w:p>
        </w:tc>
        <w:tc>
          <w:tcPr>
            <w:tcW w:w="784" w:type="dxa"/>
            <w:vAlign w:val="center"/>
          </w:tcPr>
          <w:p>
            <w:pPr>
              <w:widowControl/>
              <w:spacing w:line="360" w:lineRule="auto"/>
              <w:jc w:val="center"/>
              <w:textAlignment w:val="center"/>
              <w:rPr>
                <w:rFonts w:ascii="宋体" w:hAnsi="宋体"/>
                <w:color w:val="auto"/>
                <w:sz w:val="24"/>
              </w:rPr>
            </w:pPr>
          </w:p>
        </w:tc>
        <w:tc>
          <w:tcPr>
            <w:tcW w:w="782" w:type="dxa"/>
            <w:vAlign w:val="center"/>
          </w:tcPr>
          <w:p>
            <w:pPr>
              <w:widowControl/>
              <w:spacing w:line="360" w:lineRule="auto"/>
              <w:jc w:val="center"/>
              <w:textAlignment w:val="center"/>
              <w:rPr>
                <w:rFonts w:ascii="宋体" w:hAnsi="宋体"/>
                <w:color w:val="auto"/>
                <w:sz w:val="24"/>
              </w:rPr>
            </w:pPr>
          </w:p>
        </w:tc>
        <w:tc>
          <w:tcPr>
            <w:tcW w:w="898" w:type="dxa"/>
            <w:tcBorders>
              <w:left w:val="single" w:color="auto" w:sz="4" w:space="0"/>
            </w:tcBorders>
            <w:vAlign w:val="center"/>
          </w:tcPr>
          <w:p>
            <w:pPr>
              <w:spacing w:line="300" w:lineRule="exact"/>
              <w:rPr>
                <w:rFonts w:ascii="宋体" w:hAnsi="宋体"/>
                <w:color w:val="auto"/>
                <w:sz w:val="24"/>
              </w:rPr>
            </w:pPr>
          </w:p>
        </w:tc>
        <w:tc>
          <w:tcPr>
            <w:tcW w:w="1368" w:type="dxa"/>
            <w:vAlign w:val="center"/>
          </w:tcPr>
          <w:p>
            <w:pPr>
              <w:spacing w:line="300" w:lineRule="exact"/>
              <w:rPr>
                <w:rFonts w:ascii="宋体" w:hAnsi="宋体"/>
                <w:color w:val="auto"/>
                <w:sz w:val="24"/>
              </w:rPr>
            </w:pPr>
          </w:p>
        </w:tc>
        <w:tc>
          <w:tcPr>
            <w:tcW w:w="2157" w:type="dxa"/>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912" w:type="dxa"/>
            <w:gridSpan w:val="8"/>
          </w:tcPr>
          <w:p>
            <w:pPr>
              <w:spacing w:line="300" w:lineRule="exact"/>
              <w:rPr>
                <w:rFonts w:ascii="宋体" w:hAnsi="宋体"/>
                <w:color w:val="auto"/>
                <w:sz w:val="24"/>
              </w:rPr>
            </w:pPr>
            <w:r>
              <w:rPr>
                <w:rFonts w:hint="eastAsia" w:ascii="宋体" w:hAnsi="宋体"/>
                <w:b/>
                <w:color w:val="auto"/>
                <w:sz w:val="24"/>
              </w:rPr>
              <w:t>投标报价（1+2+...）：</w:t>
            </w:r>
            <w:r>
              <w:rPr>
                <w:rFonts w:hint="eastAsia" w:ascii="宋体" w:hAnsi="宋体"/>
                <w:b/>
                <w:color w:val="auto"/>
                <w:sz w:val="24"/>
                <w:u w:val="single"/>
              </w:rPr>
              <w:t xml:space="preserve">               </w:t>
            </w:r>
            <w:r>
              <w:rPr>
                <w:rFonts w:hint="eastAsia" w:ascii="宋体" w:hAnsi="宋体"/>
                <w:b/>
                <w:color w:val="auto"/>
                <w:sz w:val="24"/>
              </w:rPr>
              <w:t>元；小写：</w:t>
            </w:r>
            <w:r>
              <w:rPr>
                <w:rFonts w:hint="eastAsia" w:ascii="宋体" w:hAnsi="宋体"/>
                <w:b/>
                <w:color w:val="auto"/>
                <w:sz w:val="24"/>
                <w:u w:val="single"/>
              </w:rPr>
              <w:t xml:space="preserve">         </w:t>
            </w:r>
            <w:r>
              <w:rPr>
                <w:rFonts w:hint="eastAsia" w:ascii="宋体" w:hAnsi="宋体"/>
                <w:b/>
                <w:color w:val="auto"/>
                <w:sz w:val="24"/>
              </w:rPr>
              <w:t xml:space="preserve"> 元；（填入投标函和开标一览表）</w:t>
            </w:r>
          </w:p>
        </w:tc>
      </w:tr>
    </w:tbl>
    <w:p>
      <w:pPr>
        <w:spacing w:line="500" w:lineRule="exact"/>
        <w:ind w:firstLine="420" w:firstLineChars="200"/>
        <w:jc w:val="left"/>
        <w:rPr>
          <w:color w:val="auto"/>
          <w:lang w:val="zh-CN"/>
        </w:rPr>
      </w:pPr>
      <w:r>
        <w:rPr>
          <w:rFonts w:hint="eastAsia"/>
          <w:color w:val="auto"/>
          <w:lang w:val="zh-CN"/>
        </w:rPr>
        <w:t>注：1.所有投标只能选择一种方案，单价和合价的报价只能是唯一，且须列出详细的分项报价。（与采购清单项相一致，不得缺项，否则视同包含在其他项目。）</w:t>
      </w:r>
    </w:p>
    <w:p>
      <w:pPr>
        <w:spacing w:line="500" w:lineRule="exact"/>
        <w:ind w:firstLine="420" w:firstLineChars="200"/>
        <w:jc w:val="left"/>
        <w:rPr>
          <w:color w:val="auto"/>
          <w:lang w:val="zh-CN"/>
        </w:rPr>
      </w:pPr>
      <w:r>
        <w:rPr>
          <w:rFonts w:hint="eastAsia"/>
          <w:color w:val="auto"/>
        </w:rPr>
        <w:t>2.</w:t>
      </w:r>
      <w:r>
        <w:rPr>
          <w:rFonts w:hint="eastAsia"/>
          <w:color w:val="auto"/>
          <w:lang w:val="zh-CN"/>
        </w:rPr>
        <w:t>投标报价采用综合单价法，综合单价包括完成招标文件</w:t>
      </w:r>
      <w:r>
        <w:rPr>
          <w:rFonts w:hint="eastAsia"/>
          <w:color w:val="auto"/>
        </w:rPr>
        <w:t>和采购配置清单</w:t>
      </w:r>
      <w:r>
        <w:rPr>
          <w:rFonts w:hint="eastAsia"/>
          <w:color w:val="auto"/>
          <w:lang w:val="zh-CN"/>
        </w:rPr>
        <w:t>要求的</w:t>
      </w:r>
      <w:r>
        <w:rPr>
          <w:rFonts w:hint="eastAsia"/>
          <w:color w:val="auto"/>
        </w:rPr>
        <w:t>所有货物及相关</w:t>
      </w:r>
      <w:r>
        <w:rPr>
          <w:rFonts w:hint="eastAsia"/>
          <w:color w:val="auto"/>
          <w:lang w:val="zh-CN"/>
        </w:rPr>
        <w:t>服务内容所包含的一切应有费用，综合单价今后将不作任何调整。</w:t>
      </w:r>
    </w:p>
    <w:p>
      <w:pPr>
        <w:spacing w:line="500" w:lineRule="exact"/>
        <w:ind w:firstLine="420" w:firstLineChars="200"/>
        <w:jc w:val="left"/>
        <w:rPr>
          <w:color w:val="auto"/>
        </w:rPr>
      </w:pPr>
    </w:p>
    <w:p>
      <w:pPr>
        <w:spacing w:line="500" w:lineRule="exact"/>
        <w:jc w:val="center"/>
        <w:rPr>
          <w:rFonts w:ascii="宋体"/>
          <w:color w:val="auto"/>
          <w:sz w:val="24"/>
        </w:rPr>
      </w:pPr>
      <w:r>
        <w:rPr>
          <w:rFonts w:hint="eastAsia" w:ascii="宋体"/>
          <w:color w:val="auto"/>
          <w:sz w:val="24"/>
        </w:rPr>
        <w:t xml:space="preserve">                                              投标人名称（签章）：</w:t>
      </w:r>
      <w:r>
        <w:rPr>
          <w:rFonts w:hint="eastAsia" w:ascii="宋体"/>
          <w:color w:val="auto"/>
          <w:sz w:val="24"/>
          <w:u w:val="single"/>
        </w:rPr>
        <w:t xml:space="preserve">                         </w:t>
      </w:r>
    </w:p>
    <w:p>
      <w:pPr>
        <w:spacing w:line="500" w:lineRule="exact"/>
        <w:jc w:val="center"/>
        <w:rPr>
          <w:rFonts w:ascii="宋体"/>
          <w:color w:val="auto"/>
          <w:sz w:val="24"/>
          <w:u w:val="single"/>
        </w:rPr>
      </w:pPr>
      <w:r>
        <w:rPr>
          <w:rFonts w:hint="eastAsia" w:ascii="宋体"/>
          <w:color w:val="auto"/>
          <w:sz w:val="24"/>
        </w:rPr>
        <w:t xml:space="preserve">                                             法定代表人 (签字或盖章)：</w:t>
      </w:r>
      <w:r>
        <w:rPr>
          <w:rFonts w:hint="eastAsia" w:ascii="宋体"/>
          <w:color w:val="auto"/>
          <w:sz w:val="24"/>
          <w:u w:val="single"/>
        </w:rPr>
        <w:t xml:space="preserve">                               </w:t>
      </w:r>
    </w:p>
    <w:p>
      <w:pPr>
        <w:spacing w:line="500" w:lineRule="exact"/>
        <w:jc w:val="center"/>
        <w:rPr>
          <w:rFonts w:ascii="宋体"/>
          <w:color w:val="auto"/>
          <w:sz w:val="24"/>
          <w:u w:val="single"/>
        </w:rPr>
      </w:pPr>
    </w:p>
    <w:p>
      <w:pPr>
        <w:spacing w:line="500" w:lineRule="exact"/>
        <w:ind w:firstLine="5760" w:firstLineChars="2400"/>
        <w:jc w:val="left"/>
        <w:rPr>
          <w:rFonts w:ascii="宋体"/>
          <w:color w:val="auto"/>
          <w:sz w:val="24"/>
        </w:rPr>
      </w:pPr>
      <w:r>
        <w:rPr>
          <w:rFonts w:hint="eastAsia" w:ascii="宋体"/>
          <w:color w:val="auto"/>
          <w:sz w:val="24"/>
        </w:rPr>
        <w:t xml:space="preserve">日期：    年   月  日 </w:t>
      </w:r>
    </w:p>
    <w:p>
      <w:pPr>
        <w:spacing w:line="500" w:lineRule="exact"/>
        <w:jc w:val="both"/>
        <w:rPr>
          <w:rFonts w:ascii="宋体"/>
          <w:b/>
          <w:color w:val="auto"/>
          <w:sz w:val="36"/>
          <w:szCs w:val="36"/>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p>
    <w:p>
      <w:pPr>
        <w:spacing w:line="500" w:lineRule="exact"/>
        <w:jc w:val="center"/>
        <w:rPr>
          <w:rFonts w:ascii="宋体"/>
          <w:b/>
          <w:color w:val="auto"/>
          <w:sz w:val="36"/>
          <w:szCs w:val="36"/>
        </w:rPr>
      </w:pPr>
      <w:r>
        <w:rPr>
          <w:rFonts w:hint="eastAsia" w:ascii="宋体"/>
          <w:b/>
          <w:color w:val="auto"/>
          <w:sz w:val="36"/>
          <w:szCs w:val="36"/>
        </w:rPr>
        <w:t>投标人认为需要提供的其他材料（如有）</w:t>
      </w:r>
    </w:p>
    <w:bookmarkEnd w:id="560"/>
    <w:bookmarkEnd w:id="561"/>
    <w:bookmarkEnd w:id="562"/>
    <w:bookmarkEnd w:id="563"/>
    <w:bookmarkEnd w:id="564"/>
    <w:bookmarkEnd w:id="565"/>
    <w:bookmarkEnd w:id="566"/>
    <w:bookmarkEnd w:id="567"/>
    <w:p>
      <w:pPr>
        <w:pStyle w:val="8"/>
        <w:rPr>
          <w:color w:val="auto"/>
          <w:sz w:val="30"/>
          <w:szCs w:val="30"/>
        </w:rPr>
      </w:pPr>
      <w:bookmarkStart w:id="707" w:name="_Toc14229"/>
      <w:bookmarkStart w:id="708" w:name="_Toc19487_WPSOffice_Level1"/>
      <w:bookmarkStart w:id="709" w:name="_Toc150"/>
      <w:bookmarkStart w:id="710" w:name="_Toc35864597"/>
      <w:bookmarkStart w:id="711" w:name="_Toc7702"/>
      <w:bookmarkStart w:id="712" w:name="_Toc11858"/>
      <w:bookmarkStart w:id="713" w:name="_Toc29328_WPSOffice_Level1"/>
      <w:r>
        <w:rPr>
          <w:rFonts w:hint="eastAsia"/>
          <w:color w:val="auto"/>
          <w:sz w:val="30"/>
          <w:szCs w:val="30"/>
        </w:rPr>
        <w:t>第</w:t>
      </w:r>
      <w:r>
        <w:rPr>
          <w:rFonts w:hint="eastAsia"/>
          <w:color w:val="auto"/>
          <w:sz w:val="30"/>
          <w:szCs w:val="30"/>
          <w:lang w:val="en-US" w:eastAsia="zh-CN"/>
        </w:rPr>
        <w:t>七</w:t>
      </w:r>
      <w:r>
        <w:rPr>
          <w:rFonts w:hint="eastAsia"/>
          <w:color w:val="auto"/>
          <w:sz w:val="30"/>
          <w:szCs w:val="30"/>
        </w:rPr>
        <w:t>章 招标单位、代理机构对本招标文件的确认</w:t>
      </w:r>
      <w:bookmarkEnd w:id="707"/>
      <w:bookmarkEnd w:id="708"/>
      <w:bookmarkEnd w:id="709"/>
      <w:bookmarkEnd w:id="710"/>
      <w:bookmarkEnd w:id="711"/>
      <w:bookmarkEnd w:id="712"/>
      <w:bookmarkEnd w:id="713"/>
    </w:p>
    <w:tbl>
      <w:tblPr>
        <w:tblStyle w:val="5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rPr>
                <w:rFonts w:ascii="宋体" w:cs="宋体"/>
                <w:color w:val="auto"/>
                <w:sz w:val="28"/>
                <w:szCs w:val="28"/>
              </w:rPr>
            </w:pPr>
          </w:p>
          <w:p>
            <w:pPr>
              <w:widowControl/>
              <w:spacing w:line="360" w:lineRule="auto"/>
              <w:ind w:firstLine="600"/>
              <w:jc w:val="left"/>
              <w:rPr>
                <w:rFonts w:ascii="宋体" w:cs="宋体"/>
                <w:color w:val="auto"/>
                <w:sz w:val="28"/>
                <w:szCs w:val="28"/>
              </w:rPr>
            </w:pPr>
            <w:r>
              <w:rPr>
                <w:rFonts w:hint="eastAsia" w:ascii="宋体" w:hAnsi="宋体" w:cs="宋体"/>
                <w:color w:val="auto"/>
                <w:sz w:val="28"/>
                <w:szCs w:val="28"/>
              </w:rPr>
              <w:t>我单位对</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滁州市第二人民医院污水站在线监控设备维护及排污许可证自行监测服务项目</w:t>
            </w:r>
            <w:r>
              <w:rPr>
                <w:rFonts w:hint="eastAsia" w:ascii="宋体" w:hAnsi="宋体" w:cs="宋体"/>
                <w:color w:val="auto"/>
                <w:sz w:val="28"/>
                <w:szCs w:val="28"/>
                <w:u w:val="single"/>
              </w:rPr>
              <w:t xml:space="preserve">  </w:t>
            </w:r>
            <w:r>
              <w:rPr>
                <w:rFonts w:hint="eastAsia" w:ascii="宋体" w:hAnsi="宋体" w:cs="宋体"/>
                <w:color w:val="auto"/>
                <w:sz w:val="28"/>
                <w:szCs w:val="28"/>
              </w:rPr>
              <w:t>的招标文件进行确认。</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招标人：</w:t>
            </w:r>
            <w:r>
              <w:rPr>
                <w:rFonts w:hint="eastAsia" w:hAnsi="宋体" w:cs="宋体"/>
                <w:color w:val="auto"/>
                <w:sz w:val="28"/>
                <w:szCs w:val="28"/>
                <w:shd w:val="clear" w:color="auto" w:fill="FFFFFF"/>
              </w:rPr>
              <w:t>滁州市第二人民医院（市传染病医院、市精神病医院）</w:t>
            </w:r>
            <w:r>
              <w:rPr>
                <w:rFonts w:hint="eastAsia" w:ascii="宋体" w:hAnsi="宋体"/>
                <w:color w:val="auto"/>
                <w:sz w:val="28"/>
                <w:szCs w:val="28"/>
              </w:rPr>
              <w:t xml:space="preserve">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w:t>
            </w:r>
            <w:r>
              <w:rPr>
                <w:rFonts w:hint="eastAsia" w:ascii="宋体" w:hAnsi="宋体" w:cs="宋体"/>
                <w:color w:val="auto"/>
                <w:sz w:val="28"/>
                <w:szCs w:val="28"/>
                <w:shd w:val="clear" w:color="auto" w:fill="FFFFFF"/>
              </w:rPr>
              <w:t xml:space="preserve">人：方凯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联系电话：</w:t>
            </w:r>
            <w:r>
              <w:rPr>
                <w:rFonts w:hint="eastAsia" w:hAnsi="宋体" w:cs="宋体"/>
                <w:color w:val="auto"/>
                <w:sz w:val="28"/>
                <w:szCs w:val="28"/>
                <w:shd w:val="clear" w:color="auto" w:fill="FFFFFF"/>
              </w:rPr>
              <w:t xml:space="preserve">0550-3523822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pStyle w:val="2"/>
              <w:ind w:left="0" w:leftChars="0" w:firstLine="0" w:firstLineChars="0"/>
              <w:rPr>
                <w:color w:val="auto"/>
                <w:sz w:val="28"/>
                <w:szCs w:val="28"/>
              </w:rPr>
            </w:pP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                                        </w:t>
            </w: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（盖章）</w:t>
            </w:r>
          </w:p>
          <w:p>
            <w:pPr>
              <w:spacing w:line="560" w:lineRule="exact"/>
              <w:ind w:firstLine="280" w:firstLineChars="10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color w:val="auto"/>
                <w:sz w:val="28"/>
                <w:szCs w:val="28"/>
              </w:rPr>
            </w:pP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招标代理机构：江苏川页工程项目管理有限公司   </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经办人：赵建飞</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联系电话：18755018236</w:t>
            </w:r>
          </w:p>
          <w:p>
            <w:pPr>
              <w:spacing w:line="560" w:lineRule="exact"/>
              <w:ind w:firstLine="280" w:firstLineChars="100"/>
              <w:rPr>
                <w:rFonts w:ascii="宋体" w:hAnsi="宋体" w:cs="宋体"/>
                <w:color w:val="auto"/>
                <w:sz w:val="28"/>
                <w:szCs w:val="28"/>
              </w:rPr>
            </w:pPr>
            <w:r>
              <w:rPr>
                <w:rFonts w:hint="eastAsia" w:ascii="宋体" w:hAnsi="宋体" w:cs="宋体"/>
                <w:color w:val="auto"/>
                <w:sz w:val="28"/>
                <w:szCs w:val="28"/>
              </w:rPr>
              <w:t xml:space="preserve">                                  </w:t>
            </w:r>
          </w:p>
          <w:p>
            <w:pPr>
              <w:spacing w:line="560" w:lineRule="exact"/>
              <w:ind w:firstLine="280" w:firstLineChars="100"/>
              <w:rPr>
                <w:rFonts w:ascii="宋体" w:hAnsi="宋体" w:cs="宋体"/>
                <w:color w:val="auto"/>
                <w:sz w:val="28"/>
                <w:szCs w:val="28"/>
              </w:rPr>
            </w:pPr>
          </w:p>
          <w:p>
            <w:pPr>
              <w:pStyle w:val="9"/>
              <w:rPr>
                <w:color w:val="auto"/>
              </w:rPr>
            </w:pPr>
          </w:p>
          <w:p>
            <w:pPr>
              <w:spacing w:line="560" w:lineRule="exact"/>
              <w:ind w:firstLine="280" w:firstLineChars="100"/>
              <w:jc w:val="right"/>
              <w:rPr>
                <w:rFonts w:ascii="宋体" w:hAnsi="宋体" w:cs="宋体"/>
                <w:color w:val="auto"/>
                <w:sz w:val="28"/>
                <w:szCs w:val="28"/>
              </w:rPr>
            </w:pPr>
            <w:r>
              <w:rPr>
                <w:rFonts w:hint="eastAsia" w:ascii="宋体" w:hAnsi="宋体" w:cs="宋体"/>
                <w:color w:val="auto"/>
                <w:sz w:val="28"/>
                <w:szCs w:val="28"/>
              </w:rPr>
              <w:t xml:space="preserve">                                          （单位盖章）</w:t>
            </w:r>
          </w:p>
          <w:p>
            <w:pPr>
              <w:spacing w:line="560" w:lineRule="exact"/>
              <w:ind w:firstLine="6300" w:firstLineChars="2250"/>
              <w:jc w:val="right"/>
              <w:rPr>
                <w:color w:val="auto"/>
                <w:sz w:val="28"/>
                <w:szCs w:val="28"/>
              </w:rPr>
            </w:pPr>
            <w:r>
              <w:rPr>
                <w:rFonts w:hint="eastAsia" w:ascii="宋体" w:hAnsi="宋体" w:cs="宋体"/>
                <w:color w:val="auto"/>
                <w:sz w:val="28"/>
                <w:szCs w:val="28"/>
              </w:rPr>
              <w:t xml:space="preserve">       2024年</w:t>
            </w:r>
            <w:r>
              <w:rPr>
                <w:rFonts w:hint="eastAsia" w:ascii="宋体" w:hAnsi="宋体" w:cs="宋体"/>
                <w:color w:val="auto"/>
                <w:sz w:val="28"/>
                <w:szCs w:val="28"/>
                <w:lang w:val="en-US" w:eastAsia="zh-CN"/>
              </w:rPr>
              <w:t>3</w:t>
            </w:r>
            <w:r>
              <w:rPr>
                <w:rFonts w:hint="eastAsia" w:ascii="宋体" w:hAnsi="宋体" w:cs="宋体"/>
                <w:color w:val="auto"/>
                <w:sz w:val="28"/>
                <w:szCs w:val="28"/>
              </w:rPr>
              <w:t>月</w:t>
            </w:r>
          </w:p>
        </w:tc>
      </w:tr>
    </w:tbl>
    <w:p>
      <w:pPr>
        <w:jc w:val="left"/>
        <w:rPr>
          <w:rFonts w:ascii="宋体" w:hAnsi="宋体" w:cs="宋体"/>
          <w:color w:val="auto"/>
          <w:sz w:val="28"/>
          <w:szCs w:val="28"/>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p>
    <w:pPr>
      <w:pStyle w:val="30"/>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7A103"/>
    <w:multiLevelType w:val="singleLevel"/>
    <w:tmpl w:val="20F7A103"/>
    <w:lvl w:ilvl="0" w:tentative="0">
      <w:start w:val="1"/>
      <w:numFmt w:val="decimal"/>
      <w:lvlText w:val="%1."/>
      <w:lvlJc w:val="left"/>
      <w:pPr>
        <w:tabs>
          <w:tab w:val="left" w:pos="312"/>
        </w:tabs>
      </w:pPr>
    </w:lvl>
  </w:abstractNum>
  <w:abstractNum w:abstractNumId="1">
    <w:nsid w:val="45F89BED"/>
    <w:multiLevelType w:val="singleLevel"/>
    <w:tmpl w:val="45F89BED"/>
    <w:lvl w:ilvl="0" w:tentative="0">
      <w:start w:val="1"/>
      <w:numFmt w:val="decimal"/>
      <w:lvlText w:val="%1."/>
      <w:lvlJc w:val="left"/>
      <w:pPr>
        <w:ind w:left="425" w:hanging="425"/>
      </w:pPr>
      <w:rPr>
        <w:rFonts w:hint="default"/>
      </w:rPr>
    </w:lvl>
  </w:abstractNum>
  <w:abstractNum w:abstractNumId="2">
    <w:nsid w:val="617FFA09"/>
    <w:multiLevelType w:val="singleLevel"/>
    <w:tmpl w:val="617FFA0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OTNjODVhZDU1NjI3OTQ2MWEyNjYyZjMzY2MxNGE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AD0"/>
    <w:rsid w:val="002F1B12"/>
    <w:rsid w:val="002F2ADD"/>
    <w:rsid w:val="002F3CA0"/>
    <w:rsid w:val="002F4C7B"/>
    <w:rsid w:val="002F5F35"/>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96A"/>
    <w:rsid w:val="00A20282"/>
    <w:rsid w:val="00A21F13"/>
    <w:rsid w:val="00A22342"/>
    <w:rsid w:val="00A23E8C"/>
    <w:rsid w:val="00A24378"/>
    <w:rsid w:val="00A249BC"/>
    <w:rsid w:val="00A250B0"/>
    <w:rsid w:val="00A269BA"/>
    <w:rsid w:val="00A26AF6"/>
    <w:rsid w:val="00A26E06"/>
    <w:rsid w:val="00A27338"/>
    <w:rsid w:val="00A30638"/>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720F47"/>
    <w:rsid w:val="057A4C7B"/>
    <w:rsid w:val="0590119C"/>
    <w:rsid w:val="05AD1B88"/>
    <w:rsid w:val="05B13426"/>
    <w:rsid w:val="05C56ED2"/>
    <w:rsid w:val="05EA5EA2"/>
    <w:rsid w:val="064C2576"/>
    <w:rsid w:val="067D77AC"/>
    <w:rsid w:val="06A05249"/>
    <w:rsid w:val="06EF599D"/>
    <w:rsid w:val="06F90AE7"/>
    <w:rsid w:val="07195727"/>
    <w:rsid w:val="07541337"/>
    <w:rsid w:val="07C36F54"/>
    <w:rsid w:val="07EC4BEA"/>
    <w:rsid w:val="08122176"/>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A117414"/>
    <w:rsid w:val="0A2F247A"/>
    <w:rsid w:val="0A3D172D"/>
    <w:rsid w:val="0A634F0B"/>
    <w:rsid w:val="0A6F3EE9"/>
    <w:rsid w:val="0A8C6210"/>
    <w:rsid w:val="0AEF0818"/>
    <w:rsid w:val="0AF142C5"/>
    <w:rsid w:val="0B1B1342"/>
    <w:rsid w:val="0B26707E"/>
    <w:rsid w:val="0B7A075E"/>
    <w:rsid w:val="0C1110C3"/>
    <w:rsid w:val="0C5C2956"/>
    <w:rsid w:val="0C795822"/>
    <w:rsid w:val="0CA86EA2"/>
    <w:rsid w:val="0CB657C6"/>
    <w:rsid w:val="0CBB595F"/>
    <w:rsid w:val="0CBD7CF1"/>
    <w:rsid w:val="0D046461"/>
    <w:rsid w:val="0D1B5BBD"/>
    <w:rsid w:val="0D35493D"/>
    <w:rsid w:val="0D656F20"/>
    <w:rsid w:val="0D6C68AD"/>
    <w:rsid w:val="0D70006B"/>
    <w:rsid w:val="0D9C570A"/>
    <w:rsid w:val="0D9F6EC3"/>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725EA8"/>
    <w:rsid w:val="10D61D5D"/>
    <w:rsid w:val="10EF540C"/>
    <w:rsid w:val="11023B11"/>
    <w:rsid w:val="11036B00"/>
    <w:rsid w:val="111451B1"/>
    <w:rsid w:val="11750FCE"/>
    <w:rsid w:val="117F087D"/>
    <w:rsid w:val="1188307C"/>
    <w:rsid w:val="118C15CB"/>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C91236"/>
    <w:rsid w:val="14407A24"/>
    <w:rsid w:val="1457788F"/>
    <w:rsid w:val="14B52807"/>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523B6"/>
    <w:rsid w:val="17B31280"/>
    <w:rsid w:val="17B468C9"/>
    <w:rsid w:val="17DB07D7"/>
    <w:rsid w:val="18122A85"/>
    <w:rsid w:val="18427A2F"/>
    <w:rsid w:val="18A569D9"/>
    <w:rsid w:val="18B352B0"/>
    <w:rsid w:val="18C748B7"/>
    <w:rsid w:val="18ED431E"/>
    <w:rsid w:val="1912647A"/>
    <w:rsid w:val="19131523"/>
    <w:rsid w:val="1932529B"/>
    <w:rsid w:val="19843FE1"/>
    <w:rsid w:val="19873D9C"/>
    <w:rsid w:val="19BD4767"/>
    <w:rsid w:val="19D21766"/>
    <w:rsid w:val="19EE19D3"/>
    <w:rsid w:val="1A0933D9"/>
    <w:rsid w:val="1A0C2EC9"/>
    <w:rsid w:val="1A2F6BB8"/>
    <w:rsid w:val="1A312930"/>
    <w:rsid w:val="1A3B246E"/>
    <w:rsid w:val="1A5E03B7"/>
    <w:rsid w:val="1AA90718"/>
    <w:rsid w:val="1AB73C00"/>
    <w:rsid w:val="1AF71B85"/>
    <w:rsid w:val="1B8051D3"/>
    <w:rsid w:val="1B812E7F"/>
    <w:rsid w:val="1BAB04C0"/>
    <w:rsid w:val="1BCE21DA"/>
    <w:rsid w:val="1C346708"/>
    <w:rsid w:val="1C6E346B"/>
    <w:rsid w:val="1C762014"/>
    <w:rsid w:val="1CA052F9"/>
    <w:rsid w:val="1CA92C52"/>
    <w:rsid w:val="1D083E1C"/>
    <w:rsid w:val="1D1F48E9"/>
    <w:rsid w:val="1D20523A"/>
    <w:rsid w:val="1D282217"/>
    <w:rsid w:val="1D2D5631"/>
    <w:rsid w:val="1DA3702B"/>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933A28"/>
    <w:rsid w:val="1F9C084C"/>
    <w:rsid w:val="1FC61D6D"/>
    <w:rsid w:val="1FD01D46"/>
    <w:rsid w:val="1FE14C03"/>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C5315"/>
    <w:rsid w:val="2D95643B"/>
    <w:rsid w:val="2DD5680A"/>
    <w:rsid w:val="2DE106C9"/>
    <w:rsid w:val="2DFB0E33"/>
    <w:rsid w:val="2E2F297F"/>
    <w:rsid w:val="2E5F7614"/>
    <w:rsid w:val="2EAC6191"/>
    <w:rsid w:val="2EC4047B"/>
    <w:rsid w:val="2EE6563F"/>
    <w:rsid w:val="2EFC28ED"/>
    <w:rsid w:val="2EFC79F2"/>
    <w:rsid w:val="2F26688E"/>
    <w:rsid w:val="2F4C0A41"/>
    <w:rsid w:val="2F841A5E"/>
    <w:rsid w:val="2F990904"/>
    <w:rsid w:val="2FAD24A1"/>
    <w:rsid w:val="2FB21CDD"/>
    <w:rsid w:val="2FC93956"/>
    <w:rsid w:val="2FD66FEA"/>
    <w:rsid w:val="300E37F4"/>
    <w:rsid w:val="303568A2"/>
    <w:rsid w:val="3050190A"/>
    <w:rsid w:val="306C7DC6"/>
    <w:rsid w:val="308F3191"/>
    <w:rsid w:val="30C145B6"/>
    <w:rsid w:val="30E64311"/>
    <w:rsid w:val="30F911F5"/>
    <w:rsid w:val="31083F93"/>
    <w:rsid w:val="314C23D2"/>
    <w:rsid w:val="31771119"/>
    <w:rsid w:val="31B71515"/>
    <w:rsid w:val="32002A73"/>
    <w:rsid w:val="322518D5"/>
    <w:rsid w:val="324A65A8"/>
    <w:rsid w:val="32933D30"/>
    <w:rsid w:val="32951856"/>
    <w:rsid w:val="329F4483"/>
    <w:rsid w:val="32BF53D9"/>
    <w:rsid w:val="32C21624"/>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F02B59"/>
    <w:rsid w:val="360F71D3"/>
    <w:rsid w:val="363D4937"/>
    <w:rsid w:val="36400CEB"/>
    <w:rsid w:val="3640650F"/>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9D1436"/>
    <w:rsid w:val="38A6660E"/>
    <w:rsid w:val="38C81AB7"/>
    <w:rsid w:val="38E507FA"/>
    <w:rsid w:val="38EC5F48"/>
    <w:rsid w:val="38FD222D"/>
    <w:rsid w:val="390211C1"/>
    <w:rsid w:val="390F0207"/>
    <w:rsid w:val="391F7478"/>
    <w:rsid w:val="392A6A70"/>
    <w:rsid w:val="39363667"/>
    <w:rsid w:val="39391D8C"/>
    <w:rsid w:val="394538AA"/>
    <w:rsid w:val="39700927"/>
    <w:rsid w:val="39BC50E7"/>
    <w:rsid w:val="39D03040"/>
    <w:rsid w:val="39F33306"/>
    <w:rsid w:val="3A41003D"/>
    <w:rsid w:val="3A531190"/>
    <w:rsid w:val="3A6854CC"/>
    <w:rsid w:val="3A8B1BB1"/>
    <w:rsid w:val="3ADE3FB6"/>
    <w:rsid w:val="3AEC4D47"/>
    <w:rsid w:val="3AF410E4"/>
    <w:rsid w:val="3B253993"/>
    <w:rsid w:val="3B297A4D"/>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91083B"/>
    <w:rsid w:val="3D913562"/>
    <w:rsid w:val="3D960010"/>
    <w:rsid w:val="3DBF6634"/>
    <w:rsid w:val="3DC94AAA"/>
    <w:rsid w:val="3DF57B79"/>
    <w:rsid w:val="3E244472"/>
    <w:rsid w:val="3E2747E6"/>
    <w:rsid w:val="3E300685"/>
    <w:rsid w:val="3E4B3711"/>
    <w:rsid w:val="3E595E0B"/>
    <w:rsid w:val="3E8C2EA8"/>
    <w:rsid w:val="3EAD352C"/>
    <w:rsid w:val="3EC62C18"/>
    <w:rsid w:val="3F0F6C24"/>
    <w:rsid w:val="3F195722"/>
    <w:rsid w:val="3F1C2D07"/>
    <w:rsid w:val="3F7E303A"/>
    <w:rsid w:val="3FA70E1B"/>
    <w:rsid w:val="3FC6067B"/>
    <w:rsid w:val="3FCC4E39"/>
    <w:rsid w:val="3FD55988"/>
    <w:rsid w:val="40146815"/>
    <w:rsid w:val="401E545D"/>
    <w:rsid w:val="40354679"/>
    <w:rsid w:val="40577F27"/>
    <w:rsid w:val="405D632C"/>
    <w:rsid w:val="408625E5"/>
    <w:rsid w:val="40B03CFF"/>
    <w:rsid w:val="40B95628"/>
    <w:rsid w:val="40DD0AA9"/>
    <w:rsid w:val="40E8793D"/>
    <w:rsid w:val="412C5A7C"/>
    <w:rsid w:val="415709EC"/>
    <w:rsid w:val="41735459"/>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954C9"/>
    <w:rsid w:val="471F7129"/>
    <w:rsid w:val="47280A93"/>
    <w:rsid w:val="47596E9F"/>
    <w:rsid w:val="47703CF4"/>
    <w:rsid w:val="477A4EA8"/>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A511F"/>
    <w:rsid w:val="496122D3"/>
    <w:rsid w:val="496D2E4E"/>
    <w:rsid w:val="49776D00"/>
    <w:rsid w:val="499A72FA"/>
    <w:rsid w:val="49AA023D"/>
    <w:rsid w:val="49C61CC3"/>
    <w:rsid w:val="49CD5922"/>
    <w:rsid w:val="49E24B15"/>
    <w:rsid w:val="4A0D3F70"/>
    <w:rsid w:val="4A1368BF"/>
    <w:rsid w:val="4A7F3599"/>
    <w:rsid w:val="4AFD3FE5"/>
    <w:rsid w:val="4B2969B8"/>
    <w:rsid w:val="4B7A5B4A"/>
    <w:rsid w:val="4B810772"/>
    <w:rsid w:val="4B83098E"/>
    <w:rsid w:val="4B90143B"/>
    <w:rsid w:val="4B9F509C"/>
    <w:rsid w:val="4C237A7B"/>
    <w:rsid w:val="4C2537F3"/>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5C54C6"/>
    <w:rsid w:val="4E832A53"/>
    <w:rsid w:val="4E9234C3"/>
    <w:rsid w:val="4EC512BE"/>
    <w:rsid w:val="4F0E5CA5"/>
    <w:rsid w:val="4FCC21D8"/>
    <w:rsid w:val="4FD615AF"/>
    <w:rsid w:val="4FDC79E2"/>
    <w:rsid w:val="4FF43C08"/>
    <w:rsid w:val="502F41A2"/>
    <w:rsid w:val="504479E3"/>
    <w:rsid w:val="508A00C9"/>
    <w:rsid w:val="509251CF"/>
    <w:rsid w:val="50D6330E"/>
    <w:rsid w:val="51256043"/>
    <w:rsid w:val="517D2033"/>
    <w:rsid w:val="5181771E"/>
    <w:rsid w:val="51B003BE"/>
    <w:rsid w:val="51B4012F"/>
    <w:rsid w:val="51B573C7"/>
    <w:rsid w:val="521B540F"/>
    <w:rsid w:val="52262073"/>
    <w:rsid w:val="523E6BBC"/>
    <w:rsid w:val="528B5D4F"/>
    <w:rsid w:val="52903990"/>
    <w:rsid w:val="529945F3"/>
    <w:rsid w:val="52E11E52"/>
    <w:rsid w:val="52F263F9"/>
    <w:rsid w:val="53390C3A"/>
    <w:rsid w:val="53760DD8"/>
    <w:rsid w:val="53B27BB7"/>
    <w:rsid w:val="53CB2ED2"/>
    <w:rsid w:val="53DD0B4E"/>
    <w:rsid w:val="53EE772D"/>
    <w:rsid w:val="541C54DC"/>
    <w:rsid w:val="542D135B"/>
    <w:rsid w:val="543C7C24"/>
    <w:rsid w:val="545C7FCE"/>
    <w:rsid w:val="54BE47E5"/>
    <w:rsid w:val="54D87473"/>
    <w:rsid w:val="54DF5727"/>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C1F0A"/>
    <w:rsid w:val="601479AF"/>
    <w:rsid w:val="606A1F45"/>
    <w:rsid w:val="60E05F15"/>
    <w:rsid w:val="60E530F9"/>
    <w:rsid w:val="610E08A2"/>
    <w:rsid w:val="615C785F"/>
    <w:rsid w:val="618667F7"/>
    <w:rsid w:val="61974A55"/>
    <w:rsid w:val="61A62964"/>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51A5C23"/>
    <w:rsid w:val="652642B8"/>
    <w:rsid w:val="656A5114"/>
    <w:rsid w:val="65847385"/>
    <w:rsid w:val="65B11292"/>
    <w:rsid w:val="65B366BA"/>
    <w:rsid w:val="65BA75C8"/>
    <w:rsid w:val="65E51077"/>
    <w:rsid w:val="661A4B91"/>
    <w:rsid w:val="668138C4"/>
    <w:rsid w:val="66833198"/>
    <w:rsid w:val="66BF4C99"/>
    <w:rsid w:val="670C65D6"/>
    <w:rsid w:val="67423054"/>
    <w:rsid w:val="67483640"/>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671B7"/>
    <w:rsid w:val="6D4D22D2"/>
    <w:rsid w:val="6DA00AD4"/>
    <w:rsid w:val="6DB1683D"/>
    <w:rsid w:val="6DBF45BF"/>
    <w:rsid w:val="6DE2733E"/>
    <w:rsid w:val="6E1D536C"/>
    <w:rsid w:val="6E2B0B07"/>
    <w:rsid w:val="6E4542A4"/>
    <w:rsid w:val="6E4C0C5C"/>
    <w:rsid w:val="6E851A78"/>
    <w:rsid w:val="6EA75E92"/>
    <w:rsid w:val="6EAB4561"/>
    <w:rsid w:val="6EED1AF7"/>
    <w:rsid w:val="6F616041"/>
    <w:rsid w:val="6F7264A0"/>
    <w:rsid w:val="6F9E7295"/>
    <w:rsid w:val="6FA50623"/>
    <w:rsid w:val="6FB30672"/>
    <w:rsid w:val="70741870"/>
    <w:rsid w:val="70A47889"/>
    <w:rsid w:val="70DC38F7"/>
    <w:rsid w:val="71297032"/>
    <w:rsid w:val="71306613"/>
    <w:rsid w:val="714A395B"/>
    <w:rsid w:val="71FA5E12"/>
    <w:rsid w:val="71FB277D"/>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D64A4F"/>
    <w:rsid w:val="76227727"/>
    <w:rsid w:val="762B2267"/>
    <w:rsid w:val="762F6E99"/>
    <w:rsid w:val="76B0121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B05641A"/>
    <w:rsid w:val="7B35055F"/>
    <w:rsid w:val="7B453A59"/>
    <w:rsid w:val="7B5C5D8A"/>
    <w:rsid w:val="7B881AD9"/>
    <w:rsid w:val="7BCD7445"/>
    <w:rsid w:val="7BF15108"/>
    <w:rsid w:val="7C580C2D"/>
    <w:rsid w:val="7C6F7552"/>
    <w:rsid w:val="7C7750F6"/>
    <w:rsid w:val="7C780AA3"/>
    <w:rsid w:val="7C9A7858"/>
    <w:rsid w:val="7C9D34C4"/>
    <w:rsid w:val="7CAD6D69"/>
    <w:rsid w:val="7CD335AB"/>
    <w:rsid w:val="7D256900"/>
    <w:rsid w:val="7D7B648E"/>
    <w:rsid w:val="7D8F021D"/>
    <w:rsid w:val="7DC73E5B"/>
    <w:rsid w:val="7E556AAE"/>
    <w:rsid w:val="7EA65570"/>
    <w:rsid w:val="7EB10D93"/>
    <w:rsid w:val="7F17496E"/>
    <w:rsid w:val="7F2D7CEE"/>
    <w:rsid w:val="7F360DB0"/>
    <w:rsid w:val="7FB46BB3"/>
    <w:rsid w:val="7FD10FC1"/>
    <w:rsid w:val="7FDA73B3"/>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155"/>
    <w:autoRedefine/>
    <w:qFormat/>
    <w:uiPriority w:val="0"/>
    <w:pPr>
      <w:keepNext/>
      <w:keepLines/>
      <w:spacing w:before="340" w:after="330" w:line="360" w:lineRule="auto"/>
      <w:jc w:val="center"/>
      <w:outlineLvl w:val="0"/>
    </w:pPr>
    <w:rPr>
      <w:b/>
      <w:bCs/>
      <w:kern w:val="44"/>
      <w:sz w:val="24"/>
      <w:szCs w:val="44"/>
    </w:rPr>
  </w:style>
  <w:style w:type="paragraph" w:styleId="9">
    <w:name w:val="heading 2"/>
    <w:basedOn w:val="1"/>
    <w:next w:val="1"/>
    <w:autoRedefine/>
    <w:qFormat/>
    <w:uiPriority w:val="0"/>
    <w:pPr>
      <w:keepNext/>
      <w:keepLines/>
      <w:spacing w:before="260" w:after="260"/>
      <w:jc w:val="left"/>
      <w:outlineLvl w:val="1"/>
    </w:pPr>
    <w:rPr>
      <w:rFonts w:ascii="Arial" w:hAnsi="Arial"/>
      <w:b/>
      <w:bCs/>
      <w:sz w:val="24"/>
      <w:szCs w:val="32"/>
    </w:rPr>
  </w:style>
  <w:style w:type="paragraph" w:styleId="10">
    <w:name w:val="heading 3"/>
    <w:basedOn w:val="1"/>
    <w:next w:val="1"/>
    <w:autoRedefine/>
    <w:qFormat/>
    <w:uiPriority w:val="0"/>
    <w:pPr>
      <w:keepNext/>
      <w:keepLines/>
      <w:spacing w:before="260" w:after="260" w:line="413" w:lineRule="auto"/>
      <w:outlineLvl w:val="2"/>
    </w:pPr>
    <w:rPr>
      <w:b/>
      <w:bCs/>
      <w:sz w:val="32"/>
      <w:szCs w:val="32"/>
    </w:rPr>
  </w:style>
  <w:style w:type="paragraph" w:styleId="11">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12">
    <w:name w:val="heading 5"/>
    <w:basedOn w:val="1"/>
    <w:next w:val="1"/>
    <w:link w:val="135"/>
    <w:autoRedefine/>
    <w:qFormat/>
    <w:uiPriority w:val="0"/>
    <w:pPr>
      <w:keepNext/>
      <w:keepLines/>
      <w:spacing w:before="280" w:after="290" w:line="376" w:lineRule="auto"/>
      <w:outlineLvl w:val="4"/>
    </w:pPr>
    <w:rPr>
      <w:rFonts w:ascii="Calibri" w:hAnsi="Calibri"/>
      <w:b/>
      <w:bCs/>
      <w:sz w:val="28"/>
      <w:szCs w:val="28"/>
    </w:rPr>
  </w:style>
  <w:style w:type="paragraph" w:styleId="13">
    <w:name w:val="heading 6"/>
    <w:basedOn w:val="1"/>
    <w:next w:val="1"/>
    <w:link w:val="10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4">
    <w:name w:val="heading 7"/>
    <w:basedOn w:val="1"/>
    <w:next w:val="1"/>
    <w:link w:val="14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5">
    <w:name w:val="heading 8"/>
    <w:basedOn w:val="1"/>
    <w:next w:val="1"/>
    <w:link w:val="8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6">
    <w:name w:val="heading 9"/>
    <w:basedOn w:val="1"/>
    <w:next w:val="1"/>
    <w:link w:val="16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link w:val="170"/>
    <w:autoRedefine/>
    <w:qFormat/>
    <w:uiPriority w:val="0"/>
    <w:pPr>
      <w:spacing w:after="120" w:line="240" w:lineRule="auto"/>
      <w:ind w:left="420" w:leftChars="200" w:firstLine="420" w:firstLineChars="200"/>
    </w:pPr>
    <w:rPr>
      <w:sz w:val="21"/>
    </w:rPr>
  </w:style>
  <w:style w:type="paragraph" w:styleId="3">
    <w:name w:val="Body Text Indent"/>
    <w:basedOn w:val="1"/>
    <w:next w:val="4"/>
    <w:link w:val="114"/>
    <w:autoRedefine/>
    <w:qFormat/>
    <w:uiPriority w:val="0"/>
    <w:pPr>
      <w:spacing w:line="500" w:lineRule="exact"/>
      <w:ind w:firstLine="538"/>
    </w:pPr>
    <w:rPr>
      <w:sz w:val="28"/>
    </w:r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0"/>
    <w:pPr>
      <w:ind w:left="1260"/>
      <w:jc w:val="left"/>
    </w:pPr>
    <w:rPr>
      <w:sz w:val="18"/>
      <w:szCs w:val="18"/>
    </w:rPr>
  </w:style>
  <w:style w:type="paragraph" w:styleId="6">
    <w:name w:val="Block Text"/>
    <w:basedOn w:val="1"/>
    <w:next w:val="7"/>
    <w:autoRedefine/>
    <w:qFormat/>
    <w:uiPriority w:val="0"/>
    <w:pPr>
      <w:spacing w:line="400" w:lineRule="exact"/>
      <w:ind w:left="-359" w:leftChars="-171" w:right="31" w:rightChars="15" w:firstLine="980" w:firstLineChars="350"/>
    </w:pPr>
    <w:rPr>
      <w:rFonts w:ascii="宋体" w:hAnsi="宋体"/>
      <w:sz w:val="28"/>
      <w:szCs w:val="32"/>
    </w:rPr>
  </w:style>
  <w:style w:type="paragraph" w:styleId="7">
    <w:name w:val="Body Text"/>
    <w:basedOn w:val="1"/>
    <w:next w:val="1"/>
    <w:link w:val="132"/>
    <w:autoRedefine/>
    <w:qFormat/>
    <w:uiPriority w:val="0"/>
    <w:pPr>
      <w:jc w:val="center"/>
    </w:pPr>
    <w:rPr>
      <w:b/>
      <w:bCs/>
      <w:sz w:val="44"/>
      <w:szCs w:val="20"/>
    </w:rPr>
  </w:style>
  <w:style w:type="paragraph" w:styleId="17">
    <w:name w:val="Note Heading"/>
    <w:basedOn w:val="1"/>
    <w:next w:val="1"/>
    <w:autoRedefine/>
    <w:qFormat/>
    <w:uiPriority w:val="99"/>
    <w:pPr>
      <w:jc w:val="center"/>
    </w:pPr>
    <w:rPr>
      <w:szCs w:val="20"/>
    </w:rPr>
  </w:style>
  <w:style w:type="paragraph" w:styleId="18">
    <w:name w:val="Normal Indent"/>
    <w:basedOn w:val="1"/>
    <w:autoRedefine/>
    <w:qFormat/>
    <w:uiPriority w:val="0"/>
    <w:pPr>
      <w:ind w:firstLine="420" w:firstLineChars="200"/>
    </w:pPr>
  </w:style>
  <w:style w:type="paragraph" w:styleId="19">
    <w:name w:val="Document Map"/>
    <w:basedOn w:val="1"/>
    <w:link w:val="173"/>
    <w:autoRedefine/>
    <w:qFormat/>
    <w:uiPriority w:val="0"/>
    <w:pPr>
      <w:shd w:val="clear" w:color="auto" w:fill="000080"/>
    </w:pPr>
  </w:style>
  <w:style w:type="paragraph" w:styleId="20">
    <w:name w:val="annotation text"/>
    <w:basedOn w:val="1"/>
    <w:link w:val="147"/>
    <w:autoRedefine/>
    <w:qFormat/>
    <w:uiPriority w:val="0"/>
    <w:pPr>
      <w:jc w:val="left"/>
    </w:pPr>
  </w:style>
  <w:style w:type="paragraph" w:styleId="21">
    <w:name w:val="Body Text 3"/>
    <w:basedOn w:val="1"/>
    <w:link w:val="129"/>
    <w:autoRedefine/>
    <w:qFormat/>
    <w:uiPriority w:val="0"/>
    <w:rPr>
      <w:rFonts w:ascii="宋体"/>
      <w:sz w:val="24"/>
      <w:szCs w:val="20"/>
    </w:rPr>
  </w:style>
  <w:style w:type="paragraph" w:styleId="22">
    <w:name w:val="List Continue"/>
    <w:basedOn w:val="1"/>
    <w:autoRedefine/>
    <w:qFormat/>
    <w:uiPriority w:val="0"/>
    <w:pPr>
      <w:spacing w:after="120"/>
      <w:ind w:left="420"/>
    </w:p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Plain Text"/>
    <w:basedOn w:val="1"/>
    <w:link w:val="126"/>
    <w:autoRedefine/>
    <w:qFormat/>
    <w:uiPriority w:val="0"/>
    <w:rPr>
      <w:rFonts w:ascii="Courier New" w:hAnsi="Courier New"/>
      <w:szCs w:val="20"/>
    </w:rPr>
  </w:style>
  <w:style w:type="paragraph" w:styleId="26">
    <w:name w:val="toc 8"/>
    <w:basedOn w:val="1"/>
    <w:next w:val="1"/>
    <w:autoRedefine/>
    <w:qFormat/>
    <w:uiPriority w:val="0"/>
    <w:pPr>
      <w:ind w:left="1470"/>
      <w:jc w:val="left"/>
    </w:pPr>
    <w:rPr>
      <w:sz w:val="18"/>
      <w:szCs w:val="18"/>
    </w:rPr>
  </w:style>
  <w:style w:type="paragraph" w:styleId="27">
    <w:name w:val="Date"/>
    <w:basedOn w:val="1"/>
    <w:next w:val="1"/>
    <w:link w:val="168"/>
    <w:autoRedefine/>
    <w:qFormat/>
    <w:uiPriority w:val="0"/>
    <w:rPr>
      <w:rFonts w:ascii="仿宋_GB2312" w:eastAsia="仿宋_GB2312"/>
      <w:sz w:val="3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link w:val="119"/>
    <w:autoRedefine/>
    <w:qFormat/>
    <w:uiPriority w:val="0"/>
    <w:rPr>
      <w:sz w:val="18"/>
      <w:szCs w:val="18"/>
    </w:rPr>
  </w:style>
  <w:style w:type="paragraph" w:styleId="30">
    <w:name w:val="footer"/>
    <w:basedOn w:val="1"/>
    <w:link w:val="70"/>
    <w:autoRedefine/>
    <w:qFormat/>
    <w:uiPriority w:val="0"/>
    <w:pPr>
      <w:tabs>
        <w:tab w:val="center" w:pos="4153"/>
        <w:tab w:val="right" w:pos="8306"/>
      </w:tabs>
      <w:snapToGrid w:val="0"/>
      <w:jc w:val="left"/>
    </w:pPr>
    <w:rPr>
      <w:sz w:val="18"/>
      <w:szCs w:val="18"/>
    </w:rPr>
  </w:style>
  <w:style w:type="paragraph" w:styleId="31">
    <w:name w:val="header"/>
    <w:basedOn w:val="1"/>
    <w:link w:val="184"/>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before="120" w:after="120"/>
      <w:jc w:val="left"/>
    </w:pPr>
    <w:rPr>
      <w:b/>
      <w:bCs/>
      <w:caps/>
      <w:sz w:val="20"/>
      <w:szCs w:val="20"/>
    </w:rPr>
  </w:style>
  <w:style w:type="paragraph" w:styleId="33">
    <w:name w:val="toc 4"/>
    <w:basedOn w:val="1"/>
    <w:next w:val="1"/>
    <w:autoRedefine/>
    <w:qFormat/>
    <w:uiPriority w:val="0"/>
    <w:pPr>
      <w:ind w:left="630"/>
      <w:jc w:val="left"/>
    </w:pPr>
    <w:rPr>
      <w:sz w:val="18"/>
      <w:szCs w:val="18"/>
    </w:rPr>
  </w:style>
  <w:style w:type="paragraph" w:styleId="34">
    <w:name w:val="List"/>
    <w:basedOn w:val="1"/>
    <w:autoRedefine/>
    <w:qFormat/>
    <w:uiPriority w:val="0"/>
    <w:pPr>
      <w:ind w:left="420" w:hanging="420"/>
    </w:pPr>
    <w:rPr>
      <w:rFonts w:ascii="Arial" w:hAnsi="Arial" w:eastAsia="楷体_GB2312"/>
      <w:sz w:val="28"/>
      <w:szCs w:val="20"/>
    </w:rPr>
  </w:style>
  <w:style w:type="paragraph" w:styleId="35">
    <w:name w:val="footnote text"/>
    <w:basedOn w:val="1"/>
    <w:link w:val="125"/>
    <w:autoRedefine/>
    <w:qFormat/>
    <w:uiPriority w:val="0"/>
    <w:rPr>
      <w:sz w:val="20"/>
      <w:szCs w:val="20"/>
    </w:rPr>
  </w:style>
  <w:style w:type="paragraph" w:styleId="36">
    <w:name w:val="toc 6"/>
    <w:basedOn w:val="1"/>
    <w:next w:val="37"/>
    <w:autoRedefine/>
    <w:qFormat/>
    <w:uiPriority w:val="0"/>
    <w:pPr>
      <w:ind w:left="1050"/>
      <w:jc w:val="left"/>
    </w:pPr>
    <w:rPr>
      <w:sz w:val="18"/>
      <w:szCs w:val="18"/>
    </w:rPr>
  </w:style>
  <w:style w:type="paragraph" w:customStyle="1" w:styleId="37">
    <w:name w:val="xl76"/>
    <w:basedOn w:val="1"/>
    <w:next w:val="38"/>
    <w:autoRedefine/>
    <w:qFormat/>
    <w:uiPriority w:val="0"/>
    <w:pPr>
      <w:widowControl/>
    </w:pPr>
    <w:rPr>
      <w:rFonts w:ascii="Arial Unicode MS" w:eastAsia="Arial Unicode MS"/>
      <w:b/>
      <w:sz w:val="18"/>
    </w:rPr>
  </w:style>
  <w:style w:type="paragraph" w:customStyle="1" w:styleId="38">
    <w:name w:val="xl56"/>
    <w:basedOn w:val="1"/>
    <w:next w:val="39"/>
    <w:autoRedefine/>
    <w:qFormat/>
    <w:uiPriority w:val="0"/>
    <w:pPr>
      <w:widowControl/>
      <w:jc w:val="center"/>
    </w:pPr>
    <w:rPr>
      <w:rFonts w:ascii="Arial Unicode MS" w:eastAsia="Arial Unicode MS"/>
      <w:sz w:val="18"/>
    </w:rPr>
  </w:style>
  <w:style w:type="paragraph" w:customStyle="1" w:styleId="39">
    <w:name w:val="xl32"/>
    <w:basedOn w:val="1"/>
    <w:next w:val="1"/>
    <w:autoRedefine/>
    <w:qFormat/>
    <w:uiPriority w:val="0"/>
    <w:pPr>
      <w:widowControl/>
      <w:jc w:val="right"/>
    </w:pPr>
    <w:rPr>
      <w:rFonts w:ascii="Arial Unicode MS" w:eastAsia="Arial Unicode MS"/>
      <w:sz w:val="18"/>
    </w:rPr>
  </w:style>
  <w:style w:type="paragraph" w:styleId="40">
    <w:name w:val="Body Text Indent 3"/>
    <w:basedOn w:val="1"/>
    <w:link w:val="71"/>
    <w:autoRedefine/>
    <w:qFormat/>
    <w:uiPriority w:val="0"/>
    <w:pPr>
      <w:spacing w:after="120"/>
      <w:ind w:left="420" w:leftChars="200"/>
    </w:pPr>
    <w:rPr>
      <w:sz w:val="16"/>
      <w:szCs w:val="16"/>
    </w:rPr>
  </w:style>
  <w:style w:type="paragraph" w:styleId="41">
    <w:name w:val="table of figures"/>
    <w:basedOn w:val="1"/>
    <w:next w:val="1"/>
    <w:autoRedefine/>
    <w:qFormat/>
    <w:uiPriority w:val="0"/>
    <w:pPr>
      <w:ind w:left="200" w:leftChars="200" w:hanging="200" w:hangingChars="200"/>
    </w:pPr>
  </w:style>
  <w:style w:type="paragraph" w:styleId="42">
    <w:name w:val="toc 2"/>
    <w:basedOn w:val="1"/>
    <w:next w:val="1"/>
    <w:autoRedefine/>
    <w:qFormat/>
    <w:uiPriority w:val="0"/>
    <w:pPr>
      <w:ind w:left="210"/>
      <w:jc w:val="left"/>
    </w:pPr>
    <w:rPr>
      <w:smallCaps/>
      <w:sz w:val="20"/>
      <w:szCs w:val="20"/>
    </w:rPr>
  </w:style>
  <w:style w:type="paragraph" w:styleId="43">
    <w:name w:val="toc 9"/>
    <w:basedOn w:val="1"/>
    <w:next w:val="1"/>
    <w:autoRedefine/>
    <w:qFormat/>
    <w:uiPriority w:val="0"/>
    <w:pPr>
      <w:ind w:left="1680"/>
      <w:jc w:val="left"/>
    </w:pPr>
    <w:rPr>
      <w:sz w:val="18"/>
      <w:szCs w:val="18"/>
    </w:rPr>
  </w:style>
  <w:style w:type="paragraph" w:styleId="44">
    <w:name w:val="Body Text 2"/>
    <w:basedOn w:val="1"/>
    <w:autoRedefine/>
    <w:qFormat/>
    <w:uiPriority w:val="0"/>
    <w:pPr>
      <w:spacing w:line="360" w:lineRule="auto"/>
      <w:ind w:firstLine="200" w:firstLineChars="200"/>
    </w:pPr>
  </w:style>
  <w:style w:type="paragraph" w:styleId="45">
    <w:name w:val="Message Header"/>
    <w:basedOn w:val="1"/>
    <w:next w:val="17"/>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7">
    <w:name w:val="Normal (Web)"/>
    <w:basedOn w:val="1"/>
    <w:autoRedefine/>
    <w:qFormat/>
    <w:uiPriority w:val="0"/>
    <w:pPr>
      <w:widowControl/>
      <w:jc w:val="left"/>
    </w:pPr>
    <w:rPr>
      <w:rFonts w:ascii="宋体" w:hAnsi="宋体" w:cs="宋体"/>
      <w:kern w:val="0"/>
      <w:sz w:val="18"/>
      <w:szCs w:val="18"/>
    </w:rPr>
  </w:style>
  <w:style w:type="paragraph" w:styleId="48">
    <w:name w:val="Title"/>
    <w:basedOn w:val="1"/>
    <w:next w:val="1"/>
    <w:link w:val="14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9">
    <w:name w:val="annotation subject"/>
    <w:basedOn w:val="20"/>
    <w:next w:val="20"/>
    <w:link w:val="149"/>
    <w:autoRedefine/>
    <w:qFormat/>
    <w:uiPriority w:val="0"/>
    <w:rPr>
      <w:b/>
      <w:bCs/>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rPr>
  </w:style>
  <w:style w:type="character" w:styleId="54">
    <w:name w:val="page number"/>
    <w:autoRedefine/>
    <w:qFormat/>
    <w:uiPriority w:val="0"/>
  </w:style>
  <w:style w:type="character" w:styleId="55">
    <w:name w:val="FollowedHyperlink"/>
    <w:autoRedefine/>
    <w:unhideWhenUsed/>
    <w:qFormat/>
    <w:uiPriority w:val="0"/>
    <w:rPr>
      <w:color w:val="800080"/>
      <w:u w:val="none"/>
    </w:rPr>
  </w:style>
  <w:style w:type="character" w:styleId="56">
    <w:name w:val="Emphasis"/>
    <w:autoRedefine/>
    <w:qFormat/>
    <w:uiPriority w:val="0"/>
    <w:rPr>
      <w:color w:val="CC0033"/>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lang w:bidi="ar-SA"/>
    </w:rPr>
  </w:style>
  <w:style w:type="character" w:styleId="59">
    <w:name w:val="HTML Acronym"/>
    <w:autoRedefine/>
    <w:qFormat/>
    <w:uiPriority w:val="0"/>
  </w:style>
  <w:style w:type="character" w:styleId="60">
    <w:name w:val="HTML Variable"/>
    <w:autoRedefine/>
    <w:qFormat/>
    <w:uiPriority w:val="0"/>
  </w:style>
  <w:style w:type="character" w:styleId="61">
    <w:name w:val="Hyperlink"/>
    <w:autoRedefine/>
    <w:qFormat/>
    <w:uiPriority w:val="0"/>
    <w:rPr>
      <w:color w:val="333333"/>
      <w:u w:val="none"/>
    </w:rPr>
  </w:style>
  <w:style w:type="character" w:styleId="62">
    <w:name w:val="HTML Code"/>
    <w:autoRedefine/>
    <w:qFormat/>
    <w:uiPriority w:val="0"/>
    <w:rPr>
      <w:rFonts w:ascii="Monospace" w:hAnsi="Monospace" w:eastAsia="Monospace" w:cs="Monospace"/>
      <w:sz w:val="20"/>
      <w:lang w:bidi="ar-SA"/>
    </w:rPr>
  </w:style>
  <w:style w:type="character" w:styleId="63">
    <w:name w:val="annotation reference"/>
    <w:autoRedefine/>
    <w:qFormat/>
    <w:uiPriority w:val="0"/>
    <w:rPr>
      <w:sz w:val="21"/>
      <w:szCs w:val="21"/>
    </w:rPr>
  </w:style>
  <w:style w:type="character" w:styleId="64">
    <w:name w:val="HTML Cite"/>
    <w:autoRedefine/>
    <w:qFormat/>
    <w:uiPriority w:val="0"/>
  </w:style>
  <w:style w:type="character" w:styleId="65">
    <w:name w:val="footnote reference"/>
    <w:autoRedefine/>
    <w:qFormat/>
    <w:uiPriority w:val="0"/>
    <w:rPr>
      <w:vertAlign w:val="superscript"/>
    </w:rPr>
  </w:style>
  <w:style w:type="character" w:styleId="66">
    <w:name w:val="HTML Keyboard"/>
    <w:autoRedefine/>
    <w:qFormat/>
    <w:uiPriority w:val="0"/>
    <w:rPr>
      <w:rFonts w:ascii="Monospace" w:hAnsi="Monospace" w:eastAsia="Monospace" w:cs="Monospace"/>
      <w:sz w:val="20"/>
      <w:lang w:bidi="ar-SA"/>
    </w:rPr>
  </w:style>
  <w:style w:type="character" w:styleId="67">
    <w:name w:val="HTML Sample"/>
    <w:autoRedefine/>
    <w:qFormat/>
    <w:uiPriority w:val="0"/>
    <w:rPr>
      <w:rFonts w:ascii="Monospace" w:hAnsi="Monospace" w:eastAsia="Monospace" w:cs="Monospace"/>
      <w:lang w:bidi="ar-SA"/>
    </w:rPr>
  </w:style>
  <w:style w:type="paragraph" w:customStyle="1" w:styleId="68">
    <w:name w:val="正文文字 8"/>
    <w:basedOn w:val="1"/>
    <w:next w:val="1"/>
    <w:autoRedefine/>
    <w:qFormat/>
    <w:uiPriority w:val="0"/>
    <w:pPr>
      <w:ind w:left="240"/>
    </w:pPr>
    <w:rPr>
      <w:sz w:val="16"/>
    </w:rPr>
  </w:style>
  <w:style w:type="character" w:customStyle="1" w:styleId="69">
    <w:name w:val="l21"/>
    <w:autoRedefine/>
    <w:qFormat/>
    <w:uiPriority w:val="0"/>
    <w:rPr>
      <w:color w:val="999999"/>
    </w:rPr>
  </w:style>
  <w:style w:type="character" w:customStyle="1" w:styleId="70">
    <w:name w:val="页脚 字符"/>
    <w:link w:val="30"/>
    <w:autoRedefine/>
    <w:qFormat/>
    <w:uiPriority w:val="0"/>
    <w:rPr>
      <w:kern w:val="2"/>
      <w:sz w:val="18"/>
      <w:szCs w:val="18"/>
    </w:rPr>
  </w:style>
  <w:style w:type="character" w:customStyle="1" w:styleId="71">
    <w:name w:val="正文文本缩进 3 字符"/>
    <w:link w:val="40"/>
    <w:autoRedefine/>
    <w:qFormat/>
    <w:uiPriority w:val="0"/>
    <w:rPr>
      <w:kern w:val="2"/>
      <w:sz w:val="16"/>
      <w:szCs w:val="16"/>
    </w:rPr>
  </w:style>
  <w:style w:type="character" w:customStyle="1" w:styleId="72">
    <w:name w:val="over"/>
    <w:autoRedefine/>
    <w:qFormat/>
    <w:uiPriority w:val="0"/>
    <w:rPr>
      <w:color w:val="B60000"/>
    </w:rPr>
  </w:style>
  <w:style w:type="character" w:customStyle="1" w:styleId="73">
    <w:name w:val="tit13"/>
    <w:autoRedefine/>
    <w:qFormat/>
    <w:uiPriority w:val="0"/>
    <w:rPr>
      <w:color w:val="FFFFFF"/>
    </w:rPr>
  </w:style>
  <w:style w:type="character" w:customStyle="1" w:styleId="74">
    <w:name w:val="tit15"/>
    <w:autoRedefine/>
    <w:qFormat/>
    <w:uiPriority w:val="0"/>
    <w:rPr>
      <w:b/>
      <w:color w:val="B60000"/>
    </w:rPr>
  </w:style>
  <w:style w:type="character" w:customStyle="1" w:styleId="75">
    <w:name w:val="mesg-myd"/>
    <w:autoRedefine/>
    <w:qFormat/>
    <w:uiPriority w:val="0"/>
    <w:rPr>
      <w:color w:val="EE0000"/>
    </w:rPr>
  </w:style>
  <w:style w:type="character" w:customStyle="1" w:styleId="76">
    <w:name w:val="img_title8"/>
    <w:autoRedefine/>
    <w:qFormat/>
    <w:uiPriority w:val="0"/>
    <w:rPr>
      <w:vanish/>
    </w:rPr>
  </w:style>
  <w:style w:type="character" w:customStyle="1" w:styleId="77">
    <w:name w:val="l11"/>
    <w:autoRedefine/>
    <w:qFormat/>
    <w:uiPriority w:val="0"/>
    <w:rPr>
      <w:color w:val="999999"/>
    </w:rPr>
  </w:style>
  <w:style w:type="character" w:customStyle="1" w:styleId="78">
    <w:name w:val="over1"/>
    <w:autoRedefine/>
    <w:qFormat/>
    <w:uiPriority w:val="0"/>
    <w:rPr>
      <w:color w:val="B60000"/>
    </w:rPr>
  </w:style>
  <w:style w:type="character" w:customStyle="1" w:styleId="79">
    <w:name w:val="Char Char7"/>
    <w:autoRedefine/>
    <w:qFormat/>
    <w:uiPriority w:val="0"/>
    <w:rPr>
      <w:rFonts w:ascii="Arial" w:hAnsi="Arial" w:eastAsia="黑体"/>
      <w:b/>
      <w:bCs/>
      <w:kern w:val="2"/>
      <w:sz w:val="32"/>
      <w:szCs w:val="32"/>
      <w:lang w:val="en-US" w:eastAsia="zh-CN" w:bidi="ar-SA"/>
    </w:rPr>
  </w:style>
  <w:style w:type="character" w:customStyle="1" w:styleId="80">
    <w:name w:val="Char Char5"/>
    <w:autoRedefine/>
    <w:qFormat/>
    <w:uiPriority w:val="0"/>
    <w:rPr>
      <w:rFonts w:ascii="Arial" w:hAnsi="Arial" w:eastAsia="黑体"/>
      <w:b/>
      <w:bCs/>
      <w:kern w:val="2"/>
      <w:sz w:val="32"/>
      <w:szCs w:val="32"/>
    </w:rPr>
  </w:style>
  <w:style w:type="character" w:customStyle="1" w:styleId="81">
    <w:name w:val="starting1"/>
    <w:autoRedefine/>
    <w:qFormat/>
    <w:uiPriority w:val="0"/>
    <w:rPr>
      <w:color w:val="339900"/>
    </w:rPr>
  </w:style>
  <w:style w:type="character" w:customStyle="1" w:styleId="82">
    <w:name w:val="num61"/>
    <w:autoRedefine/>
    <w:qFormat/>
    <w:uiPriority w:val="0"/>
  </w:style>
  <w:style w:type="character" w:customStyle="1" w:styleId="83">
    <w:name w:val="标题 4 字符"/>
    <w:link w:val="11"/>
    <w:autoRedefine/>
    <w:qFormat/>
    <w:uiPriority w:val="0"/>
    <w:rPr>
      <w:rFonts w:ascii="Arial" w:hAnsi="Arial" w:eastAsia="黑体"/>
      <w:b/>
      <w:bCs/>
      <w:kern w:val="2"/>
      <w:sz w:val="28"/>
      <w:szCs w:val="28"/>
    </w:rPr>
  </w:style>
  <w:style w:type="character" w:customStyle="1" w:styleId="84">
    <w:name w:val="z-窗体顶端 字符"/>
    <w:link w:val="85"/>
    <w:autoRedefine/>
    <w:qFormat/>
    <w:uiPriority w:val="0"/>
    <w:rPr>
      <w:rFonts w:ascii="Arial" w:hAnsi="Calibri"/>
      <w:vanish/>
      <w:kern w:val="2"/>
      <w:sz w:val="16"/>
      <w:szCs w:val="24"/>
    </w:rPr>
  </w:style>
  <w:style w:type="paragraph" w:customStyle="1" w:styleId="85">
    <w:name w:val="z-窗体顶端1"/>
    <w:basedOn w:val="1"/>
    <w:next w:val="1"/>
    <w:link w:val="84"/>
    <w:autoRedefine/>
    <w:qFormat/>
    <w:uiPriority w:val="0"/>
    <w:pPr>
      <w:pBdr>
        <w:bottom w:val="single" w:color="auto" w:sz="6" w:space="1"/>
      </w:pBdr>
      <w:jc w:val="center"/>
    </w:pPr>
    <w:rPr>
      <w:rFonts w:ascii="Arial" w:hAnsi="Calibri"/>
      <w:vanish/>
      <w:sz w:val="16"/>
    </w:rPr>
  </w:style>
  <w:style w:type="character" w:customStyle="1" w:styleId="86">
    <w:name w:val="z-窗体底端 字符"/>
    <w:link w:val="87"/>
    <w:autoRedefine/>
    <w:qFormat/>
    <w:uiPriority w:val="0"/>
    <w:rPr>
      <w:rFonts w:ascii="Arial" w:hAnsi="Calibri"/>
      <w:vanish/>
      <w:kern w:val="2"/>
      <w:sz w:val="16"/>
      <w:szCs w:val="24"/>
    </w:rPr>
  </w:style>
  <w:style w:type="paragraph" w:customStyle="1" w:styleId="87">
    <w:name w:val="z-窗体底端1"/>
    <w:basedOn w:val="1"/>
    <w:next w:val="1"/>
    <w:link w:val="86"/>
    <w:autoRedefine/>
    <w:qFormat/>
    <w:uiPriority w:val="0"/>
    <w:pPr>
      <w:pBdr>
        <w:top w:val="single" w:color="auto" w:sz="6" w:space="1"/>
      </w:pBdr>
      <w:jc w:val="center"/>
    </w:pPr>
    <w:rPr>
      <w:rFonts w:ascii="Arial" w:hAnsi="Calibri"/>
      <w:vanish/>
      <w:sz w:val="16"/>
    </w:rPr>
  </w:style>
  <w:style w:type="character" w:customStyle="1" w:styleId="88">
    <w:name w:val="nostart3"/>
    <w:autoRedefine/>
    <w:qFormat/>
    <w:uiPriority w:val="0"/>
  </w:style>
  <w:style w:type="character" w:customStyle="1" w:styleId="89">
    <w:name w:val="标题 8 字符"/>
    <w:link w:val="15"/>
    <w:autoRedefine/>
    <w:qFormat/>
    <w:uiPriority w:val="0"/>
    <w:rPr>
      <w:rFonts w:ascii="Arial" w:hAnsi="Arial" w:eastAsia="黑体"/>
      <w:sz w:val="24"/>
      <w:szCs w:val="24"/>
    </w:rPr>
  </w:style>
  <w:style w:type="character" w:customStyle="1" w:styleId="90">
    <w:name w:val="bsharetext"/>
    <w:autoRedefine/>
    <w:qFormat/>
    <w:uiPriority w:val="0"/>
  </w:style>
  <w:style w:type="character" w:customStyle="1" w:styleId="91">
    <w:name w:val="name"/>
    <w:autoRedefine/>
    <w:qFormat/>
    <w:uiPriority w:val="0"/>
    <w:rPr>
      <w:color w:val="444444"/>
      <w:sz w:val="21"/>
      <w:szCs w:val="21"/>
    </w:rPr>
  </w:style>
  <w:style w:type="character" w:customStyle="1" w:styleId="92">
    <w:name w:val="Char Char2"/>
    <w:autoRedefine/>
    <w:qFormat/>
    <w:uiPriority w:val="0"/>
    <w:rPr>
      <w:rFonts w:eastAsia="宋体"/>
      <w:kern w:val="2"/>
      <w:sz w:val="21"/>
      <w:szCs w:val="24"/>
      <w:lang w:val="en-US" w:eastAsia="zh-CN" w:bidi="ar-SA"/>
    </w:rPr>
  </w:style>
  <w:style w:type="character" w:customStyle="1" w:styleId="93">
    <w:name w:val="tit12"/>
    <w:autoRedefine/>
    <w:qFormat/>
    <w:uiPriority w:val="0"/>
    <w:rPr>
      <w:color w:val="04A06C"/>
    </w:rPr>
  </w:style>
  <w:style w:type="character" w:customStyle="1" w:styleId="94">
    <w:name w:val="starting"/>
    <w:autoRedefine/>
    <w:qFormat/>
    <w:uiPriority w:val="0"/>
    <w:rPr>
      <w:color w:val="339900"/>
    </w:rPr>
  </w:style>
  <w:style w:type="character" w:customStyle="1" w:styleId="95">
    <w:name w:val="纯文本 Char1"/>
    <w:autoRedefine/>
    <w:qFormat/>
    <w:uiPriority w:val="0"/>
    <w:rPr>
      <w:rFonts w:ascii="Courier New" w:hAnsi="Courier New" w:eastAsia="宋体"/>
      <w:kern w:val="2"/>
      <w:sz w:val="21"/>
      <w:lang w:val="en-US" w:eastAsia="zh-CN" w:bidi="ar-SA"/>
    </w:rPr>
  </w:style>
  <w:style w:type="character" w:customStyle="1" w:styleId="96">
    <w:name w:val="tit10"/>
    <w:autoRedefine/>
    <w:qFormat/>
    <w:uiPriority w:val="0"/>
    <w:rPr>
      <w:color w:val="B60000"/>
    </w:rPr>
  </w:style>
  <w:style w:type="character" w:customStyle="1" w:styleId="97">
    <w:name w:val="job1"/>
    <w:autoRedefine/>
    <w:qFormat/>
    <w:uiPriority w:val="0"/>
  </w:style>
  <w:style w:type="character" w:customStyle="1" w:styleId="98">
    <w:name w:val="font61"/>
    <w:autoRedefine/>
    <w:qFormat/>
    <w:uiPriority w:val="0"/>
    <w:rPr>
      <w:rFonts w:ascii="Calibri" w:hAnsi="Calibri" w:cs="Calibri"/>
      <w:color w:val="000000"/>
      <w:sz w:val="24"/>
      <w:szCs w:val="24"/>
      <w:u w:val="none"/>
    </w:rPr>
  </w:style>
  <w:style w:type="character" w:customStyle="1" w:styleId="99">
    <w:name w:val="num210"/>
    <w:autoRedefine/>
    <w:qFormat/>
    <w:uiPriority w:val="0"/>
  </w:style>
  <w:style w:type="character" w:customStyle="1" w:styleId="100">
    <w:name w:val="job"/>
    <w:autoRedefine/>
    <w:qFormat/>
    <w:uiPriority w:val="0"/>
  </w:style>
  <w:style w:type="character" w:customStyle="1" w:styleId="101">
    <w:name w:val="msg-box28"/>
    <w:autoRedefine/>
    <w:qFormat/>
    <w:uiPriority w:val="0"/>
  </w:style>
  <w:style w:type="character" w:customStyle="1" w:styleId="102">
    <w:name w:val="17"/>
    <w:autoRedefine/>
    <w:qFormat/>
    <w:uiPriority w:val="0"/>
    <w:rPr>
      <w:rFonts w:ascii="仿宋_GB2312" w:eastAsia="仿宋_GB2312"/>
      <w:color w:val="auto"/>
      <w:sz w:val="28"/>
      <w:szCs w:val="28"/>
      <w:u w:val="single"/>
    </w:rPr>
  </w:style>
  <w:style w:type="character" w:customStyle="1" w:styleId="103">
    <w:name w:val="msg-box30"/>
    <w:autoRedefine/>
    <w:qFormat/>
    <w:uiPriority w:val="0"/>
  </w:style>
  <w:style w:type="character" w:customStyle="1" w:styleId="104">
    <w:name w:val="over2"/>
    <w:autoRedefine/>
    <w:qFormat/>
    <w:uiPriority w:val="0"/>
    <w:rPr>
      <w:color w:val="999999"/>
    </w:rPr>
  </w:style>
  <w:style w:type="character" w:customStyle="1" w:styleId="105">
    <w:name w:val="starting4"/>
    <w:autoRedefine/>
    <w:qFormat/>
    <w:uiPriority w:val="0"/>
  </w:style>
  <w:style w:type="character" w:customStyle="1" w:styleId="106">
    <w:name w:val="datetime"/>
    <w:autoRedefine/>
    <w:qFormat/>
    <w:uiPriority w:val="0"/>
    <w:rPr>
      <w:rFonts w:ascii="Arial" w:hAnsi="Arial" w:cs="Arial"/>
      <w:color w:val="999999"/>
      <w:sz w:val="21"/>
      <w:szCs w:val="21"/>
      <w:lang w:bidi="ar-SA"/>
    </w:rPr>
  </w:style>
  <w:style w:type="character" w:customStyle="1" w:styleId="107">
    <w:name w:val="标题 6 字符"/>
    <w:link w:val="13"/>
    <w:autoRedefine/>
    <w:qFormat/>
    <w:uiPriority w:val="0"/>
    <w:rPr>
      <w:rFonts w:ascii="Arial" w:hAnsi="Arial" w:eastAsia="黑体"/>
      <w:b/>
      <w:bCs/>
      <w:sz w:val="24"/>
      <w:szCs w:val="24"/>
    </w:rPr>
  </w:style>
  <w:style w:type="character" w:customStyle="1" w:styleId="108">
    <w:name w:val="red"/>
    <w:autoRedefine/>
    <w:qFormat/>
    <w:uiPriority w:val="0"/>
    <w:rPr>
      <w:rFonts w:ascii="Arial" w:hAnsi="Arial" w:cs="Arial"/>
      <w:color w:val="E50000"/>
      <w:lang w:bidi="ar-SA"/>
    </w:rPr>
  </w:style>
  <w:style w:type="character" w:customStyle="1" w:styleId="109">
    <w:name w:val="tit14"/>
    <w:autoRedefine/>
    <w:qFormat/>
    <w:uiPriority w:val="0"/>
    <w:rPr>
      <w:color w:val="B60000"/>
    </w:rPr>
  </w:style>
  <w:style w:type="character" w:customStyle="1" w:styleId="110">
    <w:name w:val="img_title9"/>
    <w:autoRedefine/>
    <w:qFormat/>
    <w:uiPriority w:val="0"/>
    <w:rPr>
      <w:vanish/>
    </w:rPr>
  </w:style>
  <w:style w:type="character" w:customStyle="1" w:styleId="111">
    <w:name w:val="p05"/>
    <w:autoRedefine/>
    <w:qFormat/>
    <w:uiPriority w:val="0"/>
  </w:style>
  <w:style w:type="character" w:customStyle="1" w:styleId="112">
    <w:name w:val="nostart2"/>
    <w:autoRedefine/>
    <w:qFormat/>
    <w:uiPriority w:val="0"/>
    <w:rPr>
      <w:color w:val="B60000"/>
    </w:rPr>
  </w:style>
  <w:style w:type="character" w:customStyle="1" w:styleId="113">
    <w:name w:val="img_title6"/>
    <w:autoRedefine/>
    <w:qFormat/>
    <w:uiPriority w:val="0"/>
    <w:rPr>
      <w:vanish/>
    </w:rPr>
  </w:style>
  <w:style w:type="character" w:customStyle="1" w:styleId="114">
    <w:name w:val="正文文本缩进 字符"/>
    <w:link w:val="3"/>
    <w:autoRedefine/>
    <w:qFormat/>
    <w:uiPriority w:val="0"/>
    <w:rPr>
      <w:kern w:val="2"/>
      <w:sz w:val="28"/>
      <w:szCs w:val="24"/>
    </w:rPr>
  </w:style>
  <w:style w:type="character" w:customStyle="1" w:styleId="115">
    <w:name w:val="Char Char71"/>
    <w:autoRedefine/>
    <w:qFormat/>
    <w:uiPriority w:val="0"/>
    <w:rPr>
      <w:rFonts w:ascii="Arial" w:hAnsi="Arial" w:eastAsia="黑体"/>
      <w:b/>
      <w:bCs/>
      <w:kern w:val="2"/>
      <w:sz w:val="32"/>
      <w:szCs w:val="32"/>
      <w:lang w:val="en-US" w:eastAsia="zh-CN" w:bidi="ar-SA"/>
    </w:rPr>
  </w:style>
  <w:style w:type="character" w:customStyle="1" w:styleId="116">
    <w:name w:val="Char Char8"/>
    <w:autoRedefine/>
    <w:qFormat/>
    <w:uiPriority w:val="0"/>
    <w:rPr>
      <w:rFonts w:ascii="Arial" w:hAnsi="Arial" w:eastAsia="黑体"/>
      <w:b/>
      <w:bCs/>
      <w:kern w:val="2"/>
      <w:sz w:val="32"/>
      <w:szCs w:val="32"/>
      <w:lang w:val="en-US" w:eastAsia="zh-CN" w:bidi="ar-SA"/>
    </w:rPr>
  </w:style>
  <w:style w:type="character" w:customStyle="1" w:styleId="117">
    <w:name w:val="num51"/>
    <w:autoRedefine/>
    <w:qFormat/>
    <w:uiPriority w:val="0"/>
  </w:style>
  <w:style w:type="character" w:customStyle="1" w:styleId="118">
    <w:name w:val="img_title7"/>
    <w:autoRedefine/>
    <w:qFormat/>
    <w:uiPriority w:val="0"/>
    <w:rPr>
      <w:vanish/>
    </w:rPr>
  </w:style>
  <w:style w:type="character" w:customStyle="1" w:styleId="119">
    <w:name w:val="批注框文本 字符"/>
    <w:link w:val="29"/>
    <w:autoRedefine/>
    <w:qFormat/>
    <w:uiPriority w:val="0"/>
    <w:rPr>
      <w:kern w:val="2"/>
      <w:sz w:val="18"/>
      <w:szCs w:val="18"/>
    </w:rPr>
  </w:style>
  <w:style w:type="character" w:customStyle="1" w:styleId="120">
    <w:name w:val="buvis"/>
    <w:autoRedefine/>
    <w:qFormat/>
    <w:uiPriority w:val="0"/>
    <w:rPr>
      <w:color w:val="999999"/>
    </w:rPr>
  </w:style>
  <w:style w:type="character" w:customStyle="1" w:styleId="121">
    <w:name w:val="num31"/>
    <w:autoRedefine/>
    <w:qFormat/>
    <w:uiPriority w:val="0"/>
  </w:style>
  <w:style w:type="character" w:customStyle="1" w:styleId="122">
    <w:name w:val="nostart"/>
    <w:autoRedefine/>
    <w:qFormat/>
    <w:uiPriority w:val="0"/>
    <w:rPr>
      <w:color w:val="FF0000"/>
    </w:rPr>
  </w:style>
  <w:style w:type="character" w:customStyle="1" w:styleId="123">
    <w:name w:val="unit"/>
    <w:autoRedefine/>
    <w:qFormat/>
    <w:uiPriority w:val="0"/>
    <w:rPr>
      <w:color w:val="999999"/>
    </w:rPr>
  </w:style>
  <w:style w:type="character" w:customStyle="1" w:styleId="124">
    <w:name w:val="l6"/>
    <w:autoRedefine/>
    <w:qFormat/>
    <w:uiPriority w:val="0"/>
    <w:rPr>
      <w:color w:val="999999"/>
    </w:rPr>
  </w:style>
  <w:style w:type="character" w:customStyle="1" w:styleId="125">
    <w:name w:val="脚注文本 字符"/>
    <w:link w:val="35"/>
    <w:autoRedefine/>
    <w:qFormat/>
    <w:uiPriority w:val="0"/>
    <w:rPr>
      <w:kern w:val="2"/>
    </w:rPr>
  </w:style>
  <w:style w:type="character" w:customStyle="1" w:styleId="126">
    <w:name w:val="纯文本 字符"/>
    <w:link w:val="25"/>
    <w:autoRedefine/>
    <w:qFormat/>
    <w:uiPriority w:val="0"/>
    <w:rPr>
      <w:rFonts w:ascii="Courier New" w:hAnsi="Courier New"/>
      <w:kern w:val="2"/>
      <w:sz w:val="21"/>
    </w:rPr>
  </w:style>
  <w:style w:type="character" w:customStyle="1" w:styleId="127">
    <w:name w:val="num81"/>
    <w:autoRedefine/>
    <w:qFormat/>
    <w:uiPriority w:val="0"/>
  </w:style>
  <w:style w:type="character" w:customStyle="1" w:styleId="128">
    <w:name w:val="Char Char81"/>
    <w:autoRedefine/>
    <w:qFormat/>
    <w:uiPriority w:val="0"/>
    <w:rPr>
      <w:rFonts w:ascii="Arial" w:hAnsi="Arial" w:eastAsia="黑体"/>
      <w:b/>
      <w:bCs/>
      <w:kern w:val="2"/>
      <w:sz w:val="32"/>
      <w:szCs w:val="32"/>
      <w:lang w:val="en-US" w:eastAsia="zh-CN" w:bidi="ar-SA"/>
    </w:rPr>
  </w:style>
  <w:style w:type="character" w:customStyle="1" w:styleId="129">
    <w:name w:val="正文文本 3 字符"/>
    <w:link w:val="21"/>
    <w:autoRedefine/>
    <w:qFormat/>
    <w:uiPriority w:val="0"/>
    <w:rPr>
      <w:rFonts w:ascii="宋体"/>
      <w:kern w:val="2"/>
      <w:sz w:val="24"/>
    </w:rPr>
  </w:style>
  <w:style w:type="character" w:customStyle="1" w:styleId="130">
    <w:name w:val="jg"/>
    <w:autoRedefine/>
    <w:qFormat/>
    <w:uiPriority w:val="0"/>
  </w:style>
  <w:style w:type="character" w:customStyle="1" w:styleId="131">
    <w:name w:val="16"/>
    <w:autoRedefine/>
    <w:qFormat/>
    <w:uiPriority w:val="0"/>
    <w:rPr>
      <w:rFonts w:ascii="仿宋_GB2312" w:eastAsia="仿宋_GB2312"/>
      <w:color w:val="auto"/>
      <w:sz w:val="28"/>
      <w:szCs w:val="28"/>
    </w:rPr>
  </w:style>
  <w:style w:type="character" w:customStyle="1" w:styleId="132">
    <w:name w:val="正文文本 字符"/>
    <w:link w:val="7"/>
    <w:autoRedefine/>
    <w:qFormat/>
    <w:uiPriority w:val="0"/>
    <w:rPr>
      <w:b/>
      <w:bCs/>
      <w:kern w:val="2"/>
      <w:sz w:val="44"/>
    </w:rPr>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starting3"/>
    <w:autoRedefine/>
    <w:qFormat/>
    <w:uiPriority w:val="0"/>
  </w:style>
  <w:style w:type="character" w:customStyle="1" w:styleId="135">
    <w:name w:val="标题 5 字符"/>
    <w:link w:val="12"/>
    <w:autoRedefine/>
    <w:qFormat/>
    <w:uiPriority w:val="0"/>
    <w:rPr>
      <w:rFonts w:ascii="Calibri" w:hAnsi="Calibri"/>
      <w:b/>
      <w:bCs/>
      <w:kern w:val="2"/>
      <w:sz w:val="28"/>
      <w:szCs w:val="28"/>
    </w:rPr>
  </w:style>
  <w:style w:type="character" w:customStyle="1" w:styleId="136">
    <w:name w:val="l51"/>
    <w:autoRedefine/>
    <w:qFormat/>
    <w:uiPriority w:val="0"/>
    <w:rPr>
      <w:color w:val="999999"/>
    </w:rPr>
  </w:style>
  <w:style w:type="character" w:customStyle="1" w:styleId="137">
    <w:name w:val="Char Char Char"/>
    <w:autoRedefine/>
    <w:qFormat/>
    <w:uiPriority w:val="0"/>
    <w:rPr>
      <w:rFonts w:eastAsia="宋体"/>
      <w:b/>
      <w:bCs/>
      <w:kern w:val="44"/>
      <w:sz w:val="44"/>
      <w:szCs w:val="44"/>
      <w:lang w:val="en-US" w:eastAsia="zh-CN" w:bidi="ar-SA"/>
    </w:rPr>
  </w:style>
  <w:style w:type="character" w:customStyle="1" w:styleId="138">
    <w:name w:val="starting2"/>
    <w:autoRedefine/>
    <w:qFormat/>
    <w:uiPriority w:val="0"/>
    <w:rPr>
      <w:color w:val="B60000"/>
    </w:rPr>
  </w:style>
  <w:style w:type="character" w:customStyle="1" w:styleId="139">
    <w:name w:val="zs"/>
    <w:autoRedefine/>
    <w:qFormat/>
    <w:uiPriority w:val="0"/>
    <w:rPr>
      <w:color w:val="8D744B"/>
      <w:sz w:val="18"/>
      <w:szCs w:val="18"/>
    </w:rPr>
  </w:style>
  <w:style w:type="character" w:customStyle="1" w:styleId="140">
    <w:name w:val="font161"/>
    <w:autoRedefine/>
    <w:qFormat/>
    <w:uiPriority w:val="0"/>
    <w:rPr>
      <w:b/>
      <w:bCs/>
      <w:sz w:val="32"/>
      <w:szCs w:val="32"/>
    </w:rPr>
  </w:style>
  <w:style w:type="character" w:customStyle="1" w:styleId="141">
    <w:name w:val="nostart1"/>
    <w:autoRedefine/>
    <w:qFormat/>
    <w:uiPriority w:val="0"/>
    <w:rPr>
      <w:color w:val="FF0000"/>
    </w:rPr>
  </w:style>
  <w:style w:type="character" w:customStyle="1" w:styleId="142">
    <w:name w:val="标题 字符"/>
    <w:link w:val="48"/>
    <w:autoRedefine/>
    <w:qFormat/>
    <w:uiPriority w:val="0"/>
    <w:rPr>
      <w:rFonts w:ascii="Arial" w:hAnsi="Arial"/>
      <w:b/>
      <w:sz w:val="32"/>
    </w:rPr>
  </w:style>
  <w:style w:type="character" w:customStyle="1" w:styleId="143">
    <w:name w:val="msg-box29"/>
    <w:autoRedefine/>
    <w:qFormat/>
    <w:uiPriority w:val="0"/>
  </w:style>
  <w:style w:type="character" w:customStyle="1" w:styleId="144">
    <w:name w:val="标题 7 字符"/>
    <w:link w:val="14"/>
    <w:autoRedefine/>
    <w:qFormat/>
    <w:uiPriority w:val="0"/>
    <w:rPr>
      <w:b/>
      <w:bCs/>
      <w:sz w:val="24"/>
      <w:szCs w:val="24"/>
    </w:rPr>
  </w:style>
  <w:style w:type="character" w:customStyle="1" w:styleId="145">
    <w:name w:val="over3"/>
    <w:autoRedefine/>
    <w:qFormat/>
    <w:uiPriority w:val="0"/>
  </w:style>
  <w:style w:type="character" w:customStyle="1" w:styleId="146">
    <w:name w:val="l41"/>
    <w:autoRedefine/>
    <w:qFormat/>
    <w:uiPriority w:val="0"/>
    <w:rPr>
      <w:color w:val="999999"/>
    </w:rPr>
  </w:style>
  <w:style w:type="character" w:customStyle="1" w:styleId="147">
    <w:name w:val="批注文字 字符"/>
    <w:link w:val="20"/>
    <w:autoRedefine/>
    <w:qFormat/>
    <w:uiPriority w:val="0"/>
    <w:rPr>
      <w:kern w:val="2"/>
      <w:sz w:val="21"/>
      <w:szCs w:val="24"/>
    </w:rPr>
  </w:style>
  <w:style w:type="character" w:customStyle="1" w:styleId="148">
    <w:name w:val="bigfont"/>
    <w:autoRedefine/>
    <w:qFormat/>
    <w:uiPriority w:val="0"/>
  </w:style>
  <w:style w:type="character" w:customStyle="1" w:styleId="149">
    <w:name w:val="批注主题 字符"/>
    <w:link w:val="49"/>
    <w:autoRedefine/>
    <w:qFormat/>
    <w:uiPriority w:val="0"/>
  </w:style>
  <w:style w:type="character" w:customStyle="1" w:styleId="150">
    <w:name w:val="font41"/>
    <w:autoRedefine/>
    <w:qFormat/>
    <w:uiPriority w:val="0"/>
    <w:rPr>
      <w:rFonts w:hint="eastAsia" w:ascii="宋体" w:hAnsi="宋体" w:eastAsia="宋体" w:cs="宋体"/>
      <w:color w:val="000000"/>
      <w:sz w:val="24"/>
      <w:szCs w:val="24"/>
      <w:u w:val="none"/>
    </w:rPr>
  </w:style>
  <w:style w:type="character" w:customStyle="1" w:styleId="151">
    <w:name w:val="l3"/>
    <w:autoRedefine/>
    <w:qFormat/>
    <w:uiPriority w:val="0"/>
    <w:rPr>
      <w:color w:val="999999"/>
    </w:rPr>
  </w:style>
  <w:style w:type="character" w:customStyle="1" w:styleId="152">
    <w:name w:val="Char Char21"/>
    <w:autoRedefine/>
    <w:qFormat/>
    <w:uiPriority w:val="0"/>
    <w:rPr>
      <w:rFonts w:eastAsia="宋体"/>
      <w:kern w:val="2"/>
      <w:sz w:val="21"/>
      <w:szCs w:val="24"/>
      <w:lang w:val="en-US" w:eastAsia="zh-CN" w:bidi="ar-SA"/>
    </w:rPr>
  </w:style>
  <w:style w:type="character" w:customStyle="1" w:styleId="153">
    <w:name w:val="标题 1 Char Char"/>
    <w:autoRedefine/>
    <w:qFormat/>
    <w:locked/>
    <w:uiPriority w:val="0"/>
    <w:rPr>
      <w:rFonts w:eastAsia="宋体"/>
      <w:b/>
      <w:bCs/>
      <w:kern w:val="44"/>
      <w:sz w:val="44"/>
      <w:szCs w:val="44"/>
      <w:lang w:val="en-US" w:eastAsia="zh-CN" w:bidi="ar-SA"/>
    </w:rPr>
  </w:style>
  <w:style w:type="character" w:customStyle="1" w:styleId="154">
    <w:name w:val="img4"/>
    <w:autoRedefine/>
    <w:qFormat/>
    <w:uiPriority w:val="0"/>
  </w:style>
  <w:style w:type="character" w:customStyle="1" w:styleId="155">
    <w:name w:val="标题 1 字符"/>
    <w:link w:val="8"/>
    <w:autoRedefine/>
    <w:qFormat/>
    <w:uiPriority w:val="0"/>
    <w:rPr>
      <w:rFonts w:ascii="Times New Roman" w:hAnsi="Times New Roman" w:eastAsia="宋体"/>
      <w:b/>
      <w:bCs/>
      <w:kern w:val="44"/>
      <w:sz w:val="24"/>
      <w:szCs w:val="44"/>
    </w:rPr>
  </w:style>
  <w:style w:type="character" w:customStyle="1" w:styleId="156">
    <w:name w:val="name1"/>
    <w:autoRedefine/>
    <w:qFormat/>
    <w:uiPriority w:val="0"/>
    <w:rPr>
      <w:color w:val="695435"/>
      <w:sz w:val="24"/>
      <w:szCs w:val="24"/>
    </w:rPr>
  </w:style>
  <w:style w:type="character" w:customStyle="1" w:styleId="157">
    <w:name w:val="font01"/>
    <w:autoRedefine/>
    <w:qFormat/>
    <w:uiPriority w:val="0"/>
    <w:rPr>
      <w:rFonts w:hint="eastAsia" w:ascii="仿宋_GB2312" w:eastAsia="仿宋_GB2312" w:cs="仿宋_GB2312"/>
      <w:color w:val="000000"/>
      <w:sz w:val="28"/>
      <w:szCs w:val="28"/>
      <w:u w:val="none"/>
    </w:rPr>
  </w:style>
  <w:style w:type="character" w:customStyle="1" w:styleId="158">
    <w:name w:val="HTML 预设格式 字符"/>
    <w:link w:val="46"/>
    <w:autoRedefine/>
    <w:qFormat/>
    <w:uiPriority w:val="0"/>
    <w:rPr>
      <w:rFonts w:ascii="宋体" w:hAnsi="Calibri"/>
      <w:sz w:val="24"/>
      <w:szCs w:val="24"/>
    </w:rPr>
  </w:style>
  <w:style w:type="character" w:customStyle="1" w:styleId="159">
    <w:name w:val="标题 2 Char Char"/>
    <w:autoRedefine/>
    <w:qFormat/>
    <w:locked/>
    <w:uiPriority w:val="0"/>
    <w:rPr>
      <w:rFonts w:ascii="Arial" w:hAnsi="Arial" w:eastAsia="黑体"/>
      <w:b/>
      <w:bCs/>
      <w:kern w:val="2"/>
      <w:sz w:val="32"/>
      <w:szCs w:val="32"/>
      <w:lang w:val="en-US" w:eastAsia="zh-CN" w:bidi="ar-SA"/>
    </w:rPr>
  </w:style>
  <w:style w:type="character" w:customStyle="1" w:styleId="160">
    <w:name w:val="msg-box31"/>
    <w:autoRedefine/>
    <w:qFormat/>
    <w:uiPriority w:val="0"/>
  </w:style>
  <w:style w:type="character" w:customStyle="1" w:styleId="161">
    <w:name w:val="font51"/>
    <w:autoRedefine/>
    <w:qFormat/>
    <w:uiPriority w:val="0"/>
    <w:rPr>
      <w:rFonts w:ascii="Arial" w:hAnsi="Arial" w:cs="Arial"/>
      <w:color w:val="000000"/>
      <w:sz w:val="24"/>
      <w:szCs w:val="24"/>
      <w:u w:val="none"/>
    </w:rPr>
  </w:style>
  <w:style w:type="character" w:customStyle="1" w:styleId="162">
    <w:name w:val="l7"/>
    <w:autoRedefine/>
    <w:qFormat/>
    <w:uiPriority w:val="0"/>
    <w:rPr>
      <w:color w:val="999999"/>
    </w:rPr>
  </w:style>
  <w:style w:type="character" w:customStyle="1" w:styleId="163">
    <w:name w:val="标题 2 Char"/>
    <w:autoRedefine/>
    <w:qFormat/>
    <w:uiPriority w:val="0"/>
    <w:rPr>
      <w:rFonts w:eastAsia="宋体"/>
      <w:sz w:val="24"/>
      <w:lang w:val="en-US" w:eastAsia="zh-CN" w:bidi="ar-SA"/>
    </w:rPr>
  </w:style>
  <w:style w:type="character" w:customStyle="1" w:styleId="164">
    <w:name w:val="标题 9 字符"/>
    <w:link w:val="16"/>
    <w:autoRedefine/>
    <w:qFormat/>
    <w:uiPriority w:val="0"/>
    <w:rPr>
      <w:rFonts w:ascii="Arial" w:hAnsi="Arial" w:eastAsia="黑体"/>
      <w:sz w:val="21"/>
      <w:szCs w:val="21"/>
    </w:rPr>
  </w:style>
  <w:style w:type="character" w:customStyle="1" w:styleId="165">
    <w:name w:val="buvis1"/>
    <w:autoRedefine/>
    <w:qFormat/>
    <w:uiPriority w:val="0"/>
    <w:rPr>
      <w:color w:val="CC0000"/>
    </w:rPr>
  </w:style>
  <w:style w:type="character" w:customStyle="1" w:styleId="166">
    <w:name w:val="标题 2 Char11"/>
    <w:autoRedefine/>
    <w:qFormat/>
    <w:uiPriority w:val="0"/>
    <w:rPr>
      <w:rFonts w:eastAsia="宋体"/>
      <w:sz w:val="24"/>
      <w:lang w:val="en-US" w:eastAsia="zh-CN" w:bidi="ar-SA"/>
    </w:rPr>
  </w:style>
  <w:style w:type="character" w:customStyle="1" w:styleId="167">
    <w:name w:val="txt"/>
    <w:autoRedefine/>
    <w:qFormat/>
    <w:uiPriority w:val="0"/>
    <w:rPr>
      <w:color w:val="C0C0C0"/>
    </w:rPr>
  </w:style>
  <w:style w:type="character" w:customStyle="1" w:styleId="168">
    <w:name w:val="日期 字符"/>
    <w:link w:val="27"/>
    <w:autoRedefine/>
    <w:qFormat/>
    <w:uiPriority w:val="0"/>
    <w:rPr>
      <w:rFonts w:ascii="仿宋_GB2312" w:eastAsia="仿宋_GB2312"/>
      <w:kern w:val="2"/>
      <w:sz w:val="30"/>
      <w:lang w:val="en-US" w:eastAsia="zh-CN" w:bidi="ar-SA"/>
    </w:rPr>
  </w:style>
  <w:style w:type="character" w:customStyle="1" w:styleId="169">
    <w:name w:val="标题 2 Char1"/>
    <w:autoRedefine/>
    <w:qFormat/>
    <w:uiPriority w:val="0"/>
    <w:rPr>
      <w:rFonts w:ascii="Arial" w:hAnsi="Arial" w:eastAsia="黑体"/>
      <w:b/>
      <w:bCs/>
      <w:kern w:val="2"/>
      <w:sz w:val="32"/>
      <w:szCs w:val="32"/>
      <w:lang w:val="en-US" w:eastAsia="zh-CN" w:bidi="ar-SA"/>
    </w:rPr>
  </w:style>
  <w:style w:type="character" w:customStyle="1" w:styleId="170">
    <w:name w:val="正文首行缩进 2 字符"/>
    <w:link w:val="2"/>
    <w:autoRedefine/>
    <w:qFormat/>
    <w:uiPriority w:val="0"/>
  </w:style>
  <w:style w:type="character" w:customStyle="1" w:styleId="171">
    <w:name w:val="font31"/>
    <w:autoRedefine/>
    <w:qFormat/>
    <w:uiPriority w:val="0"/>
    <w:rPr>
      <w:rFonts w:hint="eastAsia" w:ascii="仿宋_GB2312" w:eastAsia="仿宋_GB2312" w:cs="仿宋_GB2312"/>
      <w:color w:val="000000"/>
      <w:sz w:val="28"/>
      <w:szCs w:val="28"/>
      <w:u w:val="single"/>
    </w:rPr>
  </w:style>
  <w:style w:type="character" w:customStyle="1" w:styleId="172">
    <w:name w:val="textcontents"/>
    <w:autoRedefine/>
    <w:qFormat/>
    <w:uiPriority w:val="0"/>
  </w:style>
  <w:style w:type="character" w:customStyle="1" w:styleId="173">
    <w:name w:val="文档结构图 字符"/>
    <w:link w:val="19"/>
    <w:autoRedefine/>
    <w:qFormat/>
    <w:uiPriority w:val="0"/>
    <w:rPr>
      <w:kern w:val="2"/>
      <w:sz w:val="21"/>
      <w:szCs w:val="24"/>
      <w:shd w:val="clear" w:color="auto" w:fill="000080"/>
    </w:rPr>
  </w:style>
  <w:style w:type="character" w:customStyle="1" w:styleId="174">
    <w:name w:val="zw"/>
    <w:autoRedefine/>
    <w:qFormat/>
    <w:uiPriority w:val="0"/>
    <w:rPr>
      <w:color w:val="BD1E22"/>
      <w:sz w:val="22"/>
      <w:szCs w:val="22"/>
    </w:rPr>
  </w:style>
  <w:style w:type="character" w:customStyle="1" w:styleId="175">
    <w:name w:val="txt1"/>
    <w:autoRedefine/>
    <w:qFormat/>
    <w:uiPriority w:val="0"/>
  </w:style>
  <w:style w:type="character" w:customStyle="1" w:styleId="176">
    <w:name w:val="tit11"/>
    <w:autoRedefine/>
    <w:qFormat/>
    <w:uiPriority w:val="0"/>
    <w:rPr>
      <w:color w:val="B60000"/>
    </w:rPr>
  </w:style>
  <w:style w:type="character" w:customStyle="1" w:styleId="177">
    <w:name w:val="num71"/>
    <w:autoRedefine/>
    <w:qFormat/>
    <w:uiPriority w:val="0"/>
  </w:style>
  <w:style w:type="character" w:customStyle="1" w:styleId="178">
    <w:name w:val="name2"/>
    <w:autoRedefine/>
    <w:qFormat/>
    <w:uiPriority w:val="0"/>
    <w:rPr>
      <w:color w:val="000000"/>
      <w:sz w:val="39"/>
      <w:szCs w:val="39"/>
    </w:rPr>
  </w:style>
  <w:style w:type="character" w:customStyle="1" w:styleId="179">
    <w:name w:val="c3"/>
    <w:autoRedefine/>
    <w:qFormat/>
    <w:uiPriority w:val="0"/>
  </w:style>
  <w:style w:type="character" w:customStyle="1" w:styleId="180">
    <w:name w:val="Char Char"/>
    <w:autoRedefine/>
    <w:qFormat/>
    <w:uiPriority w:val="0"/>
    <w:rPr>
      <w:rFonts w:ascii="Arial" w:hAnsi="Arial" w:eastAsia="黑体"/>
      <w:b/>
      <w:bCs/>
      <w:kern w:val="2"/>
      <w:sz w:val="32"/>
      <w:szCs w:val="32"/>
      <w:lang w:val="en-US" w:eastAsia="zh-CN" w:bidi="ar-SA"/>
    </w:rPr>
  </w:style>
  <w:style w:type="character" w:customStyle="1" w:styleId="181">
    <w:name w:val="num41"/>
    <w:autoRedefine/>
    <w:qFormat/>
    <w:uiPriority w:val="0"/>
  </w:style>
  <w:style w:type="character" w:customStyle="1" w:styleId="182">
    <w:name w:val="c1"/>
    <w:autoRedefine/>
    <w:qFormat/>
    <w:uiPriority w:val="0"/>
  </w:style>
  <w:style w:type="character" w:customStyle="1" w:styleId="183">
    <w:name w:val="c2"/>
    <w:autoRedefine/>
    <w:qFormat/>
    <w:uiPriority w:val="0"/>
  </w:style>
  <w:style w:type="character" w:customStyle="1" w:styleId="184">
    <w:name w:val="页眉 字符"/>
    <w:link w:val="31"/>
    <w:autoRedefine/>
    <w:qFormat/>
    <w:uiPriority w:val="0"/>
    <w:rPr>
      <w:kern w:val="2"/>
      <w:sz w:val="18"/>
      <w:szCs w:val="18"/>
    </w:rPr>
  </w:style>
  <w:style w:type="character" w:customStyle="1" w:styleId="185">
    <w:name w:val="Char Char4"/>
    <w:autoRedefine/>
    <w:qFormat/>
    <w:uiPriority w:val="0"/>
    <w:rPr>
      <w:rFonts w:eastAsia="宋体"/>
      <w:b/>
      <w:bCs/>
      <w:kern w:val="44"/>
      <w:sz w:val="44"/>
      <w:szCs w:val="44"/>
      <w:lang w:val="en-US" w:eastAsia="zh-CN" w:bidi="ar-SA"/>
    </w:rPr>
  </w:style>
  <w:style w:type="character" w:customStyle="1" w:styleId="186">
    <w:name w:val="tit9"/>
    <w:autoRedefine/>
    <w:qFormat/>
    <w:uiPriority w:val="0"/>
    <w:rPr>
      <w:color w:val="B60000"/>
      <w:sz w:val="27"/>
      <w:szCs w:val="27"/>
      <w:bdr w:val="single" w:color="DFCEB8" w:sz="6" w:space="0"/>
      <w:shd w:val="clear" w:color="auto" w:fill="FFFFFF"/>
    </w:rPr>
  </w:style>
  <w:style w:type="character" w:customStyle="1" w:styleId="187">
    <w:name w:val="Char Char3"/>
    <w:autoRedefine/>
    <w:qFormat/>
    <w:uiPriority w:val="0"/>
    <w:rPr>
      <w:rFonts w:ascii="Arial" w:hAnsi="Arial" w:eastAsia="黑体"/>
      <w:b/>
      <w:bCs/>
      <w:kern w:val="2"/>
      <w:sz w:val="32"/>
      <w:szCs w:val="32"/>
      <w:lang w:val="en-US" w:eastAsia="zh-CN" w:bidi="ar-SA"/>
    </w:rPr>
  </w:style>
  <w:style w:type="paragraph" w:customStyle="1" w:styleId="188">
    <w:name w:val="首行缩进"/>
    <w:basedOn w:val="1"/>
    <w:next w:val="22"/>
    <w:autoRedefine/>
    <w:qFormat/>
    <w:uiPriority w:val="0"/>
    <w:pPr>
      <w:spacing w:line="360" w:lineRule="auto"/>
      <w:ind w:firstLine="480" w:firstLineChars="200"/>
    </w:pPr>
    <w:rPr>
      <w:sz w:val="24"/>
      <w:lang w:val="zh-CN"/>
    </w:rPr>
  </w:style>
  <w:style w:type="paragraph" w:customStyle="1" w:styleId="189">
    <w:name w:val="正文文本缩进1"/>
    <w:basedOn w:val="1"/>
    <w:autoRedefine/>
    <w:qFormat/>
    <w:uiPriority w:val="0"/>
    <w:pPr>
      <w:spacing w:after="120"/>
      <w:ind w:left="420" w:leftChars="200"/>
    </w:pPr>
    <w:rPr>
      <w:color w:val="000000"/>
      <w:kern w:val="0"/>
      <w:szCs w:val="20"/>
      <w:u w:color="000000"/>
    </w:rPr>
  </w:style>
  <w:style w:type="paragraph" w:customStyle="1" w:styleId="190">
    <w:name w:val="Char Char Char Char"/>
    <w:basedOn w:val="1"/>
    <w:autoRedefine/>
    <w:qFormat/>
    <w:uiPriority w:val="0"/>
    <w:rPr>
      <w:rFonts w:ascii="Tahoma" w:hAnsi="Tahoma"/>
      <w:sz w:val="24"/>
      <w:szCs w:val="20"/>
    </w:rPr>
  </w:style>
  <w:style w:type="paragraph" w:customStyle="1" w:styleId="1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autoRedefine/>
    <w:qFormat/>
    <w:uiPriority w:val="0"/>
    <w:rPr>
      <w:rFonts w:ascii="宋体"/>
      <w:sz w:val="24"/>
    </w:rPr>
  </w:style>
  <w:style w:type="paragraph" w:customStyle="1" w:styleId="193">
    <w:name w:val="正文文本首行缩进 21"/>
    <w:basedOn w:val="189"/>
    <w:autoRedefine/>
    <w:qFormat/>
    <w:uiPriority w:val="0"/>
    <w:pPr>
      <w:ind w:firstLine="420" w:firstLineChars="200"/>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Other|1"/>
    <w:basedOn w:val="1"/>
    <w:autoRedefine/>
    <w:qFormat/>
    <w:uiPriority w:val="0"/>
    <w:rPr>
      <w:rFonts w:ascii="宋体" w:hAnsi="宋体" w:cs="宋体"/>
      <w:sz w:val="20"/>
      <w:szCs w:val="20"/>
      <w:lang w:val="zh-TW" w:eastAsia="zh-TW" w:bidi="zh-TW"/>
    </w:rPr>
  </w:style>
  <w:style w:type="paragraph" w:customStyle="1" w:styleId="196">
    <w:name w:val="Table caption|1"/>
    <w:basedOn w:val="1"/>
    <w:autoRedefine/>
    <w:qFormat/>
    <w:uiPriority w:val="0"/>
    <w:rPr>
      <w:rFonts w:ascii="宋体" w:hAnsi="宋体" w:cs="宋体"/>
      <w:sz w:val="20"/>
      <w:szCs w:val="20"/>
      <w:lang w:val="zh-TW" w:eastAsia="zh-TW" w:bidi="zh-TW"/>
    </w:rPr>
  </w:style>
  <w:style w:type="paragraph" w:customStyle="1" w:styleId="197">
    <w:name w:val="p15"/>
    <w:autoRedefine/>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autoRedefine/>
    <w:qFormat/>
    <w:uiPriority w:val="0"/>
    <w:pPr>
      <w:spacing w:line="360" w:lineRule="auto"/>
    </w:pPr>
    <w:rPr>
      <w:rFonts w:ascii="Calibri" w:hAnsi="Calibri"/>
      <w:szCs w:val="20"/>
    </w:rPr>
  </w:style>
  <w:style w:type="paragraph" w:customStyle="1" w:styleId="199">
    <w:name w:val="样式1"/>
    <w:basedOn w:val="10"/>
    <w:autoRedefine/>
    <w:qFormat/>
    <w:uiPriority w:val="0"/>
    <w:pPr>
      <w:spacing w:line="415" w:lineRule="auto"/>
    </w:pPr>
    <w:rPr>
      <w:rFonts w:eastAsia="Arial"/>
    </w:rPr>
  </w:style>
  <w:style w:type="paragraph" w:customStyle="1" w:styleId="200">
    <w:name w:val="表格文字"/>
    <w:basedOn w:val="1"/>
    <w:autoRedefine/>
    <w:qFormat/>
    <w:uiPriority w:val="0"/>
    <w:pPr>
      <w:adjustRightInd w:val="0"/>
      <w:spacing w:line="420" w:lineRule="atLeast"/>
      <w:jc w:val="left"/>
      <w:textAlignment w:val="baseline"/>
    </w:pPr>
    <w:rPr>
      <w:kern w:val="0"/>
      <w:szCs w:val="20"/>
    </w:rPr>
  </w:style>
  <w:style w:type="paragraph" w:customStyle="1" w:styleId="201">
    <w:name w:val="列表段落1"/>
    <w:basedOn w:val="1"/>
    <w:autoRedefine/>
    <w:qFormat/>
    <w:uiPriority w:val="34"/>
    <w:pPr>
      <w:ind w:firstLine="200" w:firstLineChars="200"/>
    </w:pPr>
  </w:style>
  <w:style w:type="paragraph" w:customStyle="1" w:styleId="202">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autoRedefine/>
    <w:qFormat/>
    <w:uiPriority w:val="0"/>
    <w:pPr>
      <w:widowControl/>
      <w:spacing w:line="360" w:lineRule="auto"/>
      <w:jc w:val="left"/>
    </w:pPr>
    <w:rPr>
      <w:kern w:val="0"/>
      <w:szCs w:val="20"/>
      <w:lang w:eastAsia="en-US"/>
    </w:rPr>
  </w:style>
  <w:style w:type="paragraph" w:customStyle="1" w:styleId="20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autoRedefine/>
    <w:qFormat/>
    <w:uiPriority w:val="0"/>
    <w:pPr>
      <w:widowControl/>
      <w:spacing w:line="360" w:lineRule="auto"/>
      <w:jc w:val="left"/>
    </w:pPr>
    <w:rPr>
      <w:kern w:val="0"/>
      <w:szCs w:val="20"/>
      <w:lang w:eastAsia="en-US"/>
    </w:rPr>
  </w:style>
  <w:style w:type="paragraph" w:customStyle="1" w:styleId="207">
    <w:name w:val="样式3"/>
    <w:basedOn w:val="10"/>
    <w:autoRedefine/>
    <w:qFormat/>
    <w:uiPriority w:val="0"/>
    <w:pPr>
      <w:spacing w:line="415" w:lineRule="auto"/>
    </w:pPr>
    <w:rPr>
      <w:rFonts w:eastAsia="Arial"/>
    </w:rPr>
  </w:style>
  <w:style w:type="paragraph" w:customStyle="1" w:styleId="208">
    <w:name w:val="Table Paragraph"/>
    <w:basedOn w:val="1"/>
    <w:autoRedefine/>
    <w:qFormat/>
    <w:uiPriority w:val="1"/>
    <w:rPr>
      <w:rFonts w:ascii="宋体" w:hAnsi="宋体" w:cs="宋体"/>
      <w:lang w:val="zh-CN" w:bidi="zh-CN"/>
    </w:rPr>
  </w:style>
  <w:style w:type="paragraph" w:customStyle="1" w:styleId="209">
    <w:name w:val="p0"/>
    <w:basedOn w:val="1"/>
    <w:autoRedefine/>
    <w:qFormat/>
    <w:uiPriority w:val="0"/>
    <w:pPr>
      <w:widowControl/>
      <w:jc w:val="left"/>
    </w:pPr>
    <w:rPr>
      <w:rFonts w:ascii="宋体" w:hAnsi="宋体" w:cs="宋体"/>
      <w:kern w:val="0"/>
      <w:sz w:val="18"/>
      <w:szCs w:val="18"/>
    </w:rPr>
  </w:style>
  <w:style w:type="paragraph" w:customStyle="1" w:styleId="210">
    <w:name w:val="WPSOffice手动目录 1"/>
    <w:autoRedefine/>
    <w:qFormat/>
    <w:uiPriority w:val="0"/>
    <w:rPr>
      <w:rFonts w:ascii="Times New Roman" w:hAnsi="Times New Roman" w:eastAsia="宋体" w:cs="Times New Roman"/>
      <w:lang w:val="en-US" w:eastAsia="zh-CN" w:bidi="ar-SA"/>
    </w:rPr>
  </w:style>
  <w:style w:type="paragraph" w:customStyle="1" w:styleId="211">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10"/>
    <w:autoRedefine/>
    <w:qFormat/>
    <w:uiPriority w:val="0"/>
    <w:pPr>
      <w:spacing w:line="415" w:lineRule="auto"/>
    </w:pPr>
  </w:style>
  <w:style w:type="paragraph" w:customStyle="1" w:styleId="214">
    <w:name w:val="Picture caption|1"/>
    <w:basedOn w:val="1"/>
    <w:autoRedefine/>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8"/>
    <w:autoRedefine/>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10"/>
    <w:autoRedefine/>
    <w:qFormat/>
    <w:uiPriority w:val="0"/>
    <w:pPr>
      <w:spacing w:line="415" w:lineRule="auto"/>
    </w:pPr>
    <w:rPr>
      <w:rFonts w:eastAsia="Arial"/>
    </w:rPr>
  </w:style>
  <w:style w:type="paragraph" w:customStyle="1" w:styleId="217">
    <w:name w:val="p0 New"/>
    <w:basedOn w:val="1"/>
    <w:autoRedefine/>
    <w:qFormat/>
    <w:uiPriority w:val="0"/>
    <w:pPr>
      <w:widowControl/>
      <w:jc w:val="left"/>
    </w:pPr>
    <w:rPr>
      <w:rFonts w:ascii="宋体" w:hAnsi="Calibri" w:cs="宋体"/>
      <w:kern w:val="0"/>
      <w:sz w:val="18"/>
      <w:szCs w:val="18"/>
    </w:rPr>
  </w:style>
  <w:style w:type="paragraph" w:customStyle="1" w:styleId="218">
    <w:name w:val="Char Char6"/>
    <w:basedOn w:val="1"/>
    <w:autoRedefine/>
    <w:qFormat/>
    <w:uiPriority w:val="0"/>
    <w:pPr>
      <w:widowControl/>
      <w:spacing w:after="160" w:line="240" w:lineRule="exact"/>
      <w:jc w:val="left"/>
    </w:pPr>
  </w:style>
  <w:style w:type="paragraph" w:customStyle="1" w:styleId="219">
    <w:name w:val="列出段落1"/>
    <w:basedOn w:val="1"/>
    <w:autoRedefine/>
    <w:qFormat/>
    <w:uiPriority w:val="0"/>
    <w:pPr>
      <w:ind w:firstLine="200" w:firstLineChars="200"/>
    </w:pPr>
    <w:rPr>
      <w:rFonts w:ascii="Calibri" w:hAnsi="Calibri"/>
    </w:rPr>
  </w:style>
  <w:style w:type="paragraph" w:customStyle="1" w:styleId="220">
    <w:name w:val="1"/>
    <w:basedOn w:val="1"/>
    <w:next w:val="1"/>
    <w:autoRedefine/>
    <w:qFormat/>
    <w:uiPriority w:val="0"/>
  </w:style>
  <w:style w:type="paragraph" w:customStyle="1" w:styleId="221">
    <w:name w:val="Body text|2"/>
    <w:basedOn w:val="1"/>
    <w:autoRedefine/>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autoRedefine/>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autoRedefine/>
    <w:qFormat/>
    <w:uiPriority w:val="0"/>
    <w:pPr>
      <w:ind w:firstLine="200" w:firstLineChars="200"/>
    </w:pPr>
    <w:rPr>
      <w:rFonts w:ascii="Calibri" w:hAnsi="Calibri"/>
      <w:szCs w:val="22"/>
    </w:rPr>
  </w:style>
  <w:style w:type="paragraph" w:customStyle="1" w:styleId="226">
    <w:name w:val="默认段落字体 Para Char Char Char Char"/>
    <w:basedOn w:val="1"/>
    <w:autoRedefine/>
    <w:qFormat/>
    <w:uiPriority w:val="0"/>
  </w:style>
  <w:style w:type="paragraph" w:customStyle="1" w:styleId="227">
    <w:name w:val="正文2"/>
    <w:autoRedefine/>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autoRedefine/>
    <w:qFormat/>
    <w:uiPriority w:val="0"/>
    <w:rPr>
      <w:rFonts w:ascii="Calibri" w:hAnsi="Calibri"/>
    </w:rPr>
  </w:style>
  <w:style w:type="paragraph" w:customStyle="1" w:styleId="230">
    <w:name w:val="样式 标题 3 + (中文) 黑体 小四 非加粗 段前: 7.8 磅 段后: 0 磅 行距: 固定值 20 磅"/>
    <w:basedOn w:val="10"/>
    <w:autoRedefine/>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9"/>
    <w:autoRedefine/>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autoRedefine/>
    <w:qFormat/>
    <w:uiPriority w:val="0"/>
  </w:style>
  <w:style w:type="character" w:customStyle="1" w:styleId="233">
    <w:name w:val="未处理的提及1"/>
    <w:basedOn w:val="52"/>
    <w:autoRedefine/>
    <w:semiHidden/>
    <w:unhideWhenUsed/>
    <w:qFormat/>
    <w:uiPriority w:val="99"/>
    <w:rPr>
      <w:color w:val="605E5C"/>
      <w:shd w:val="clear" w:color="auto" w:fill="E1DFDD"/>
    </w:rPr>
  </w:style>
  <w:style w:type="character" w:customStyle="1" w:styleId="234">
    <w:name w:val="NormalCharacter"/>
    <w:autoRedefine/>
    <w:semiHidden/>
    <w:qFormat/>
    <w:uiPriority w:val="0"/>
  </w:style>
  <w:style w:type="table" w:customStyle="1" w:styleId="235">
    <w:name w:val="Table Normal"/>
    <w:autoRedefine/>
    <w:semiHidden/>
    <w:unhideWhenUsed/>
    <w:qFormat/>
    <w:uiPriority w:val="0"/>
    <w:tblPr>
      <w:tblCellMar>
        <w:top w:w="0" w:type="dxa"/>
        <w:left w:w="0" w:type="dxa"/>
        <w:bottom w:w="0" w:type="dxa"/>
        <w:right w:w="0" w:type="dxa"/>
      </w:tblCellMar>
    </w:tblPr>
  </w:style>
  <w:style w:type="table" w:customStyle="1" w:styleId="236">
    <w:name w:val="网格型1"/>
    <w:basedOn w:val="50"/>
    <w:autoRedefine/>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4102</Words>
  <Characters>23383</Characters>
  <Lines>194</Lines>
  <Paragraphs>54</Paragraphs>
  <TotalTime>6</TotalTime>
  <ScaleCrop>false</ScaleCrop>
  <LinksUpToDate>false</LinksUpToDate>
  <CharactersWithSpaces>27431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2021-07-21T07:39:00Z</dcterms:created>
  <dc:creator>微软用户</dc:creator>
  <cp:lastModifiedBy>NTKO</cp:lastModifiedBy>
  <cp:lastPrinted>2022-01-03T08:24:00Z</cp:lastPrinted>
  <dcterms:modified xsi:type="dcterms:W3CDTF">2024-03-22T08:10:25Z</dcterms:modified>
  <dc:title>花亭路等道路绿化工程苗木比价采购</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42652854B11C4C06AE6B728E4B91193D_13</vt:lpwstr>
  </property>
</Properties>
</file>