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cs="宋体"/>
          <w:b/>
          <w:bCs/>
          <w:color w:val="auto"/>
          <w:kern w:val="0"/>
          <w:sz w:val="36"/>
          <w:szCs w:val="36"/>
        </w:rPr>
      </w:pPr>
    </w:p>
    <w:p>
      <w:pPr>
        <w:pStyle w:val="50"/>
        <w:ind w:left="0" w:leftChars="0" w:firstLine="0" w:firstLineChars="0"/>
        <w:jc w:val="center"/>
        <w:rPr>
          <w:b/>
          <w:color w:val="auto"/>
        </w:rPr>
      </w:pPr>
      <w:bookmarkStart w:id="0" w:name="_Toc21247_WPSOffice_Level1"/>
      <w:bookmarkStart w:id="1" w:name="OLE_LINK1"/>
      <w:bookmarkStart w:id="2" w:name="OLE_LINK3"/>
      <w:bookmarkStart w:id="3" w:name="OLE_LINK2"/>
      <w:r>
        <w:rPr>
          <w:rFonts w:hint="eastAsia" w:ascii="宋体" w:hAnsi="宋体"/>
          <w:b/>
          <w:color w:val="auto"/>
          <w:sz w:val="48"/>
          <w:szCs w:val="48"/>
        </w:rPr>
        <w:t>滁州市第二人民医院协同办公平台及政务云存储服务项目</w:t>
      </w:r>
    </w:p>
    <w:p>
      <w:pPr>
        <w:spacing w:after="156" w:afterLines="50"/>
        <w:ind w:left="-850" w:leftChars="-405" w:right="-625"/>
        <w:jc w:val="center"/>
        <w:rPr>
          <w:color w:val="auto"/>
          <w:sz w:val="24"/>
        </w:rPr>
      </w:pPr>
    </w:p>
    <w:p>
      <w:pPr>
        <w:spacing w:after="156" w:afterLines="50"/>
        <w:ind w:left="-850" w:leftChars="-405" w:right="-625"/>
        <w:jc w:val="center"/>
        <w:rPr>
          <w:color w:val="auto"/>
          <w:sz w:val="24"/>
        </w:rPr>
      </w:pPr>
    </w:p>
    <w:p>
      <w:pPr>
        <w:pStyle w:val="50"/>
        <w:ind w:left="0" w:leftChars="0" w:firstLine="3200" w:firstLineChars="1000"/>
        <w:rPr>
          <w:color w:val="auto"/>
          <w:sz w:val="32"/>
          <w:szCs w:val="32"/>
        </w:rPr>
      </w:pPr>
    </w:p>
    <w:p>
      <w:pPr>
        <w:pStyle w:val="50"/>
        <w:ind w:left="0" w:leftChars="0" w:firstLine="0" w:firstLineChars="0"/>
        <w:jc w:val="center"/>
        <w:rPr>
          <w:rFonts w:hint="eastAsia" w:eastAsia="宋体"/>
          <w:color w:val="auto"/>
          <w:sz w:val="32"/>
          <w:szCs w:val="32"/>
          <w:lang w:eastAsia="zh-CN"/>
        </w:rPr>
      </w:pPr>
      <w:r>
        <w:rPr>
          <w:rFonts w:hint="eastAsia"/>
          <w:color w:val="auto"/>
          <w:sz w:val="32"/>
          <w:szCs w:val="32"/>
        </w:rPr>
        <w:t>项目编号：</w:t>
      </w:r>
      <w:r>
        <w:rPr>
          <w:rFonts w:hint="eastAsia"/>
          <w:color w:val="auto"/>
          <w:sz w:val="32"/>
          <w:szCs w:val="32"/>
          <w:lang w:eastAsia="zh-CN"/>
        </w:rPr>
        <w:t>CZEY-2024012</w:t>
      </w:r>
    </w:p>
    <w:p>
      <w:pPr>
        <w:pStyle w:val="50"/>
        <w:ind w:left="0" w:leftChars="0" w:firstLine="0" w:firstLineChars="0"/>
        <w:jc w:val="center"/>
        <w:rPr>
          <w:rFonts w:ascii="宋体" w:hAnsi="宋体" w:cs="宋体"/>
          <w:color w:val="auto"/>
          <w:sz w:val="32"/>
          <w:szCs w:val="32"/>
        </w:rPr>
      </w:pPr>
    </w:p>
    <w:p>
      <w:pPr>
        <w:spacing w:line="360" w:lineRule="auto"/>
        <w:rPr>
          <w:rFonts w:ascii="楷体" w:hAnsi="楷体" w:eastAsia="楷体" w:cs="楷体"/>
          <w:b/>
          <w:color w:val="auto"/>
          <w:sz w:val="96"/>
          <w:szCs w:val="96"/>
        </w:rPr>
      </w:pPr>
    </w:p>
    <w:p>
      <w:pPr>
        <w:spacing w:line="360" w:lineRule="auto"/>
        <w:jc w:val="center"/>
        <w:rPr>
          <w:rFonts w:ascii="宋体" w:hAnsi="宋体" w:cs="宋体"/>
          <w:bCs/>
          <w:color w:val="auto"/>
          <w:sz w:val="96"/>
          <w:szCs w:val="96"/>
        </w:rPr>
      </w:pPr>
      <w:r>
        <w:rPr>
          <w:rFonts w:hint="eastAsia" w:ascii="宋体" w:hAnsi="宋体" w:cs="宋体"/>
          <w:b/>
          <w:color w:val="auto"/>
          <w:sz w:val="96"/>
          <w:szCs w:val="96"/>
        </w:rPr>
        <w:t>招 标 文 件</w:t>
      </w:r>
    </w:p>
    <w:p>
      <w:pPr>
        <w:rPr>
          <w:rFonts w:ascii="宋体" w:hAnsi="宋体"/>
          <w:b/>
          <w:color w:val="auto"/>
          <w:sz w:val="84"/>
          <w:szCs w:val="84"/>
        </w:rPr>
      </w:pPr>
    </w:p>
    <w:p>
      <w:pPr>
        <w:pStyle w:val="50"/>
        <w:rPr>
          <w:color w:val="auto"/>
        </w:rPr>
      </w:pPr>
    </w:p>
    <w:p>
      <w:pPr>
        <w:rPr>
          <w:rFonts w:ascii="宋体"/>
          <w:color w:val="auto"/>
          <w:sz w:val="28"/>
          <w:szCs w:val="28"/>
        </w:rPr>
      </w:pPr>
    </w:p>
    <w:p>
      <w:pPr>
        <w:ind w:firstLine="643" w:firstLineChars="200"/>
        <w:rPr>
          <w:rFonts w:ascii="宋体"/>
          <w:b/>
          <w:color w:val="auto"/>
          <w:sz w:val="32"/>
          <w:szCs w:val="32"/>
        </w:rPr>
      </w:pPr>
    </w:p>
    <w:p>
      <w:pPr>
        <w:pStyle w:val="17"/>
        <w:rPr>
          <w:color w:val="auto"/>
        </w:rPr>
      </w:pPr>
    </w:p>
    <w:p>
      <w:pPr>
        <w:rPr>
          <w:rFonts w:ascii="宋体"/>
          <w:b/>
          <w:color w:val="auto"/>
          <w:spacing w:val="-20"/>
          <w:sz w:val="32"/>
          <w:szCs w:val="32"/>
        </w:rPr>
      </w:pPr>
      <w:r>
        <w:rPr>
          <w:rFonts w:hint="eastAsia" w:ascii="宋体"/>
          <w:b/>
          <w:color w:val="auto"/>
          <w:sz w:val="32"/>
          <w:szCs w:val="32"/>
        </w:rPr>
        <w:t>采  购  人：</w:t>
      </w:r>
      <w:r>
        <w:rPr>
          <w:rFonts w:hint="eastAsia" w:ascii="宋体" w:hAnsi="宋体"/>
          <w:b/>
          <w:color w:val="auto"/>
          <w:spacing w:val="-20"/>
          <w:sz w:val="32"/>
          <w:szCs w:val="32"/>
          <w:u w:val="single"/>
        </w:rPr>
        <w:t>滁州市第二人民医院（市传染病医院、市精神病医院）</w:t>
      </w:r>
      <w:r>
        <w:rPr>
          <w:rFonts w:hint="eastAsia" w:ascii="宋体"/>
          <w:b/>
          <w:color w:val="auto"/>
          <w:spacing w:val="-20"/>
          <w:sz w:val="32"/>
          <w:szCs w:val="32"/>
        </w:rPr>
        <w:t>（盖单位章）</w:t>
      </w:r>
    </w:p>
    <w:p>
      <w:pPr>
        <w:rPr>
          <w:rFonts w:ascii="宋体"/>
          <w:b/>
          <w:color w:val="auto"/>
          <w:sz w:val="32"/>
          <w:szCs w:val="32"/>
          <w:u w:val="single"/>
        </w:rPr>
      </w:pPr>
      <w:r>
        <w:rPr>
          <w:rFonts w:hint="eastAsia" w:ascii="宋体"/>
          <w:b/>
          <w:color w:val="auto"/>
          <w:sz w:val="32"/>
          <w:szCs w:val="32"/>
        </w:rPr>
        <w:t>采购代理机构：</w:t>
      </w:r>
      <w:r>
        <w:rPr>
          <w:rFonts w:hint="eastAsia" w:ascii="宋体"/>
          <w:b/>
          <w:color w:val="auto"/>
          <w:sz w:val="32"/>
          <w:szCs w:val="32"/>
          <w:u w:val="single"/>
        </w:rPr>
        <w:t xml:space="preserve"> </w:t>
      </w:r>
      <w:r>
        <w:rPr>
          <w:rFonts w:hint="eastAsia" w:ascii="宋体" w:hAnsi="宋体"/>
          <w:b/>
          <w:color w:val="auto"/>
          <w:spacing w:val="-20"/>
          <w:sz w:val="32"/>
          <w:szCs w:val="32"/>
          <w:u w:val="single"/>
        </w:rPr>
        <w:t xml:space="preserve">江苏川页工程项目管理有限公司  </w:t>
      </w:r>
      <w:r>
        <w:rPr>
          <w:rFonts w:hint="eastAsia" w:ascii="宋体"/>
          <w:b/>
          <w:color w:val="auto"/>
          <w:sz w:val="32"/>
          <w:szCs w:val="32"/>
        </w:rPr>
        <w:t>（盖单位章）</w:t>
      </w:r>
    </w:p>
    <w:p>
      <w:pPr>
        <w:jc w:val="center"/>
        <w:rPr>
          <w:rFonts w:ascii="宋体"/>
          <w:b/>
          <w:color w:val="auto"/>
          <w:sz w:val="32"/>
          <w:szCs w:val="32"/>
        </w:rPr>
      </w:pPr>
      <w:r>
        <w:rPr>
          <w:rFonts w:hint="eastAsia" w:ascii="宋体"/>
          <w:b/>
          <w:color w:val="auto"/>
          <w:sz w:val="32"/>
          <w:szCs w:val="32"/>
          <w:u w:val="single"/>
        </w:rPr>
        <w:t xml:space="preserve">二〇二四 </w:t>
      </w:r>
      <w:r>
        <w:rPr>
          <w:rFonts w:hint="eastAsia" w:ascii="宋体"/>
          <w:b/>
          <w:color w:val="auto"/>
          <w:sz w:val="32"/>
          <w:szCs w:val="32"/>
        </w:rPr>
        <w:t xml:space="preserve">年 </w:t>
      </w:r>
      <w:r>
        <w:rPr>
          <w:rFonts w:hint="eastAsia" w:ascii="宋体"/>
          <w:b/>
          <w:color w:val="auto"/>
          <w:sz w:val="32"/>
          <w:szCs w:val="32"/>
          <w:u w:val="single"/>
        </w:rPr>
        <w:t xml:space="preserve"> </w:t>
      </w:r>
      <w:r>
        <w:rPr>
          <w:rFonts w:hint="eastAsia" w:ascii="宋体"/>
          <w:b/>
          <w:color w:val="auto"/>
          <w:sz w:val="32"/>
          <w:szCs w:val="32"/>
          <w:u w:val="single"/>
          <w:lang w:val="en-US" w:eastAsia="zh-CN"/>
        </w:rPr>
        <w:t>三</w:t>
      </w:r>
      <w:r>
        <w:rPr>
          <w:rFonts w:hint="eastAsia" w:ascii="宋体"/>
          <w:b/>
          <w:color w:val="auto"/>
          <w:sz w:val="32"/>
          <w:szCs w:val="32"/>
          <w:u w:val="single"/>
        </w:rPr>
        <w:t xml:space="preserve"> </w:t>
      </w:r>
      <w:r>
        <w:rPr>
          <w:rFonts w:hint="eastAsia" w:ascii="宋体"/>
          <w:b/>
          <w:color w:val="auto"/>
          <w:sz w:val="32"/>
          <w:szCs w:val="32"/>
        </w:rPr>
        <w:t>月</w:t>
      </w:r>
    </w:p>
    <w:p>
      <w:pPr>
        <w:adjustRightInd w:val="0"/>
        <w:snapToGrid w:val="0"/>
        <w:spacing w:line="460" w:lineRule="exact"/>
        <w:jc w:val="center"/>
        <w:rPr>
          <w:rFonts w:ascii="宋体" w:hAnsi="宋体" w:cs="宋体"/>
          <w:b/>
          <w:color w:val="auto"/>
          <w:spacing w:val="20"/>
          <w:sz w:val="32"/>
          <w:szCs w:val="32"/>
        </w:rPr>
      </w:pPr>
      <w:r>
        <w:rPr>
          <w:rFonts w:hint="eastAsia" w:ascii="宋体" w:hAnsi="宋体" w:cs="宋体"/>
          <w:b/>
          <w:color w:val="auto"/>
          <w:spacing w:val="20"/>
          <w:sz w:val="32"/>
          <w:szCs w:val="32"/>
        </w:rPr>
        <w:t>目 录</w:t>
      </w:r>
    </w:p>
    <w:p>
      <w:pPr>
        <w:pStyle w:val="31"/>
        <w:tabs>
          <w:tab w:val="right" w:leader="dot" w:pos="9071"/>
        </w:tabs>
        <w:spacing w:line="360" w:lineRule="auto"/>
        <w:rPr>
          <w:rFonts w:ascii="宋体" w:hAnsi="宋体" w:cs="宋体"/>
          <w:color w:val="auto"/>
          <w:sz w:val="24"/>
          <w:szCs w:val="24"/>
        </w:rPr>
      </w:pPr>
      <w:r>
        <w:rPr>
          <w:rFonts w:hint="eastAsia" w:ascii="宋体" w:hAnsi="宋体" w:cs="宋体"/>
          <w:b w:val="0"/>
          <w:color w:val="auto"/>
          <w:spacing w:val="20"/>
          <w:sz w:val="24"/>
          <w:szCs w:val="24"/>
        </w:rPr>
        <w:fldChar w:fldCharType="begin"/>
      </w:r>
      <w:r>
        <w:rPr>
          <w:rFonts w:hint="eastAsia" w:ascii="宋体" w:hAnsi="宋体" w:cs="宋体"/>
          <w:b w:val="0"/>
          <w:color w:val="auto"/>
          <w:spacing w:val="20"/>
          <w:sz w:val="24"/>
          <w:szCs w:val="24"/>
        </w:rPr>
        <w:instrText xml:space="preserve">TOC \o "1-2" \h \u </w:instrText>
      </w:r>
      <w:r>
        <w:rPr>
          <w:rFonts w:hint="eastAsia" w:ascii="宋体" w:hAnsi="宋体" w:cs="宋体"/>
          <w:b w:val="0"/>
          <w:color w:val="auto"/>
          <w:spacing w:val="20"/>
          <w:sz w:val="24"/>
          <w:szCs w:val="24"/>
        </w:rPr>
        <w:fldChar w:fldCharType="separate"/>
      </w:r>
      <w:r>
        <w:rPr>
          <w:color w:val="auto"/>
        </w:rPr>
        <w:fldChar w:fldCharType="begin"/>
      </w:r>
      <w:r>
        <w:rPr>
          <w:color w:val="auto"/>
        </w:rPr>
        <w:instrText xml:space="preserve"> HYPERLINK \l "_Toc16307" </w:instrText>
      </w:r>
      <w:r>
        <w:rPr>
          <w:color w:val="auto"/>
        </w:rPr>
        <w:fldChar w:fldCharType="separate"/>
      </w:r>
      <w:r>
        <w:rPr>
          <w:rFonts w:hint="eastAsia" w:ascii="宋体" w:hAnsi="宋体" w:cs="宋体"/>
          <w:color w:val="auto"/>
          <w:sz w:val="24"/>
          <w:szCs w:val="24"/>
        </w:rPr>
        <w:t>第一章  投标人须知</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_Toc16307 \h </w:instrText>
      </w:r>
      <w:r>
        <w:rPr>
          <w:rFonts w:hint="eastAsia" w:ascii="宋体" w:hAnsi="宋体" w:cs="宋体"/>
          <w:color w:val="auto"/>
          <w:sz w:val="24"/>
          <w:szCs w:val="24"/>
        </w:rPr>
        <w:fldChar w:fldCharType="separate"/>
      </w:r>
      <w:r>
        <w:rPr>
          <w:rFonts w:hint="eastAsia" w:ascii="宋体" w:hAnsi="宋体" w:cs="宋体"/>
          <w:color w:val="auto"/>
          <w:sz w:val="24"/>
          <w:szCs w:val="24"/>
        </w:rPr>
        <w:t>5</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31"/>
        <w:tabs>
          <w:tab w:val="right" w:leader="dot" w:pos="9071"/>
        </w:tabs>
        <w:spacing w:line="360" w:lineRule="auto"/>
        <w:rPr>
          <w:rFonts w:ascii="宋体" w:hAnsi="宋体" w:cs="宋体"/>
          <w:color w:val="auto"/>
          <w:sz w:val="24"/>
          <w:szCs w:val="24"/>
        </w:rPr>
      </w:pPr>
      <w:r>
        <w:rPr>
          <w:color w:val="auto"/>
        </w:rPr>
        <w:fldChar w:fldCharType="begin"/>
      </w:r>
      <w:r>
        <w:rPr>
          <w:color w:val="auto"/>
        </w:rPr>
        <w:instrText xml:space="preserve"> HYPERLINK \l "_Toc1436" </w:instrText>
      </w:r>
      <w:r>
        <w:rPr>
          <w:color w:val="auto"/>
        </w:rPr>
        <w:fldChar w:fldCharType="separate"/>
      </w:r>
      <w:r>
        <w:rPr>
          <w:rFonts w:hint="eastAsia" w:ascii="宋体" w:hAnsi="宋体" w:cs="宋体"/>
          <w:color w:val="auto"/>
          <w:sz w:val="24"/>
          <w:szCs w:val="24"/>
        </w:rPr>
        <w:t>第二章  评标办法</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_Toc1436 \h </w:instrText>
      </w:r>
      <w:r>
        <w:rPr>
          <w:rFonts w:hint="eastAsia" w:ascii="宋体" w:hAnsi="宋体" w:cs="宋体"/>
          <w:color w:val="auto"/>
          <w:sz w:val="24"/>
          <w:szCs w:val="24"/>
        </w:rPr>
        <w:fldChar w:fldCharType="separate"/>
      </w:r>
      <w:r>
        <w:rPr>
          <w:rFonts w:hint="eastAsia" w:ascii="宋体" w:hAnsi="宋体" w:cs="宋体"/>
          <w:color w:val="auto"/>
          <w:sz w:val="24"/>
          <w:szCs w:val="24"/>
        </w:rPr>
        <w:t>16</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31"/>
        <w:tabs>
          <w:tab w:val="right" w:leader="dot" w:pos="9071"/>
        </w:tabs>
        <w:spacing w:line="360" w:lineRule="auto"/>
        <w:rPr>
          <w:rFonts w:ascii="宋体" w:hAnsi="宋体" w:cs="宋体"/>
          <w:color w:val="auto"/>
          <w:sz w:val="24"/>
          <w:szCs w:val="24"/>
        </w:rPr>
      </w:pPr>
      <w:r>
        <w:rPr>
          <w:color w:val="auto"/>
        </w:rPr>
        <w:fldChar w:fldCharType="begin"/>
      </w:r>
      <w:r>
        <w:rPr>
          <w:color w:val="auto"/>
        </w:rPr>
        <w:instrText xml:space="preserve"> HYPERLINK \l "_Toc17174" </w:instrText>
      </w:r>
      <w:r>
        <w:rPr>
          <w:color w:val="auto"/>
        </w:rPr>
        <w:fldChar w:fldCharType="separate"/>
      </w:r>
      <w:r>
        <w:rPr>
          <w:rFonts w:hint="eastAsia" w:ascii="宋体" w:hAnsi="宋体" w:cs="宋体"/>
          <w:color w:val="auto"/>
          <w:sz w:val="24"/>
          <w:szCs w:val="24"/>
        </w:rPr>
        <w:t>第三章 采购需求</w:t>
      </w:r>
      <w:r>
        <w:rPr>
          <w:rFonts w:hint="eastAsia" w:ascii="宋体" w:hAnsi="宋体" w:cs="宋体"/>
          <w:color w:val="auto"/>
          <w:sz w:val="24"/>
          <w:szCs w:val="24"/>
        </w:rPr>
        <w:tab/>
      </w:r>
      <w:r>
        <w:rPr>
          <w:rFonts w:hint="eastAsia" w:ascii="宋体" w:hAnsi="宋体" w:cs="宋体"/>
          <w:color w:val="auto"/>
          <w:sz w:val="24"/>
          <w:szCs w:val="24"/>
        </w:rPr>
        <w:t>2</w:t>
      </w:r>
      <w:r>
        <w:rPr>
          <w:rFonts w:hint="eastAsia" w:ascii="宋体" w:hAnsi="宋体" w:cs="宋体"/>
          <w:color w:val="auto"/>
          <w:sz w:val="24"/>
          <w:szCs w:val="24"/>
        </w:rPr>
        <w:fldChar w:fldCharType="end"/>
      </w:r>
      <w:r>
        <w:rPr>
          <w:rFonts w:hint="eastAsia" w:ascii="宋体" w:hAnsi="宋体" w:cs="宋体"/>
          <w:color w:val="auto"/>
          <w:sz w:val="24"/>
          <w:szCs w:val="24"/>
        </w:rPr>
        <w:t>3</w:t>
      </w:r>
    </w:p>
    <w:p>
      <w:pPr>
        <w:pStyle w:val="31"/>
        <w:tabs>
          <w:tab w:val="right" w:leader="dot" w:pos="9071"/>
        </w:tabs>
        <w:spacing w:line="360" w:lineRule="auto"/>
        <w:rPr>
          <w:rFonts w:ascii="宋体" w:hAnsi="宋体" w:cs="宋体"/>
          <w:color w:val="auto"/>
          <w:sz w:val="24"/>
          <w:szCs w:val="24"/>
        </w:rPr>
      </w:pPr>
      <w:r>
        <w:rPr>
          <w:color w:val="auto"/>
        </w:rPr>
        <w:fldChar w:fldCharType="begin"/>
      </w:r>
      <w:r>
        <w:rPr>
          <w:color w:val="auto"/>
        </w:rPr>
        <w:instrText xml:space="preserve"> HYPERLINK \l "_Toc24931" </w:instrText>
      </w:r>
      <w:r>
        <w:rPr>
          <w:color w:val="auto"/>
        </w:rPr>
        <w:fldChar w:fldCharType="separate"/>
      </w:r>
      <w:r>
        <w:rPr>
          <w:rFonts w:hint="eastAsia" w:ascii="宋体" w:hAnsi="宋体" w:cs="宋体"/>
          <w:color w:val="auto"/>
          <w:sz w:val="24"/>
          <w:szCs w:val="24"/>
        </w:rPr>
        <w:t>第四章 合同条款及格式</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_Toc24931 \h </w:instrText>
      </w:r>
      <w:r>
        <w:rPr>
          <w:rFonts w:hint="eastAsia" w:ascii="宋体" w:hAnsi="宋体" w:cs="宋体"/>
          <w:color w:val="auto"/>
          <w:sz w:val="24"/>
          <w:szCs w:val="24"/>
        </w:rPr>
        <w:fldChar w:fldCharType="separate"/>
      </w:r>
      <w:r>
        <w:rPr>
          <w:rFonts w:hint="eastAsia" w:ascii="宋体" w:hAnsi="宋体" w:cs="宋体"/>
          <w:color w:val="auto"/>
          <w:sz w:val="24"/>
          <w:szCs w:val="24"/>
        </w:rPr>
        <w:t>26</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31"/>
        <w:tabs>
          <w:tab w:val="right" w:leader="dot" w:pos="9071"/>
        </w:tabs>
        <w:spacing w:line="360" w:lineRule="auto"/>
        <w:rPr>
          <w:rFonts w:ascii="宋体" w:hAnsi="宋体" w:cs="宋体"/>
          <w:color w:val="auto"/>
          <w:sz w:val="24"/>
          <w:szCs w:val="24"/>
        </w:rPr>
      </w:pPr>
      <w:r>
        <w:rPr>
          <w:color w:val="auto"/>
        </w:rPr>
        <w:fldChar w:fldCharType="begin"/>
      </w:r>
      <w:r>
        <w:rPr>
          <w:color w:val="auto"/>
        </w:rPr>
        <w:instrText xml:space="preserve"> HYPERLINK \l "_Toc11301" </w:instrText>
      </w:r>
      <w:r>
        <w:rPr>
          <w:color w:val="auto"/>
        </w:rPr>
        <w:fldChar w:fldCharType="separate"/>
      </w:r>
      <w:r>
        <w:rPr>
          <w:rFonts w:hint="eastAsia" w:ascii="宋体" w:hAnsi="宋体" w:cs="宋体"/>
          <w:color w:val="auto"/>
          <w:sz w:val="24"/>
          <w:szCs w:val="24"/>
        </w:rPr>
        <w:t>第五章  投标文件格式</w:t>
      </w:r>
      <w:r>
        <w:rPr>
          <w:rFonts w:hint="eastAsia" w:ascii="宋体" w:hAnsi="宋体" w:cs="宋体"/>
          <w:color w:val="auto"/>
          <w:sz w:val="24"/>
          <w:szCs w:val="24"/>
        </w:rPr>
        <w:tab/>
      </w:r>
      <w:r>
        <w:rPr>
          <w:rFonts w:hint="eastAsia" w:ascii="宋体" w:hAnsi="宋体" w:cs="宋体"/>
          <w:color w:val="auto"/>
          <w:sz w:val="24"/>
          <w:szCs w:val="24"/>
        </w:rPr>
        <w:t>3</w:t>
      </w:r>
      <w:r>
        <w:rPr>
          <w:rFonts w:hint="eastAsia" w:ascii="宋体" w:hAnsi="宋体" w:cs="宋体"/>
          <w:color w:val="auto"/>
          <w:sz w:val="24"/>
          <w:szCs w:val="24"/>
        </w:rPr>
        <w:fldChar w:fldCharType="end"/>
      </w:r>
      <w:r>
        <w:rPr>
          <w:rFonts w:hint="eastAsia" w:ascii="宋体" w:hAnsi="宋体" w:cs="宋体"/>
          <w:color w:val="auto"/>
          <w:sz w:val="24"/>
          <w:szCs w:val="24"/>
        </w:rPr>
        <w:t>3</w:t>
      </w:r>
    </w:p>
    <w:p>
      <w:pPr>
        <w:pStyle w:val="31"/>
        <w:tabs>
          <w:tab w:val="right" w:leader="dot" w:pos="9071"/>
        </w:tabs>
        <w:spacing w:line="360" w:lineRule="auto"/>
        <w:rPr>
          <w:rFonts w:hint="eastAsia" w:ascii="宋体" w:hAnsi="宋体" w:eastAsia="宋体" w:cs="宋体"/>
          <w:color w:val="auto"/>
          <w:sz w:val="24"/>
          <w:szCs w:val="24"/>
          <w:lang w:eastAsia="zh-CN"/>
        </w:rPr>
      </w:pPr>
      <w:r>
        <w:rPr>
          <w:color w:val="auto"/>
        </w:rPr>
        <w:fldChar w:fldCharType="begin"/>
      </w:r>
      <w:r>
        <w:rPr>
          <w:color w:val="auto"/>
        </w:rPr>
        <w:instrText xml:space="preserve"> HYPERLINK \l "_Toc150" </w:instrText>
      </w:r>
      <w:r>
        <w:rPr>
          <w:color w:val="auto"/>
        </w:rPr>
        <w:fldChar w:fldCharType="separate"/>
      </w:r>
      <w:r>
        <w:rPr>
          <w:rFonts w:hint="eastAsia" w:ascii="宋体" w:hAnsi="宋体" w:cs="宋体"/>
          <w:color w:val="auto"/>
          <w:sz w:val="24"/>
          <w:szCs w:val="24"/>
        </w:rPr>
        <w:t>第六章 招标单位、代理机构对本交易文件的确认</w:t>
      </w:r>
      <w:r>
        <w:rPr>
          <w:rFonts w:hint="eastAsia" w:ascii="宋体" w:hAnsi="宋体" w:cs="宋体"/>
          <w:color w:val="auto"/>
          <w:sz w:val="24"/>
          <w:szCs w:val="24"/>
        </w:rPr>
        <w:tab/>
      </w:r>
      <w:r>
        <w:rPr>
          <w:rFonts w:hint="eastAsia" w:ascii="宋体" w:hAnsi="宋体" w:cs="宋体"/>
          <w:color w:val="auto"/>
          <w:sz w:val="24"/>
          <w:szCs w:val="24"/>
        </w:rPr>
        <w:t>4</w:t>
      </w:r>
      <w:r>
        <w:rPr>
          <w:rFonts w:hint="eastAsia" w:ascii="宋体" w:hAnsi="宋体" w:cs="宋体"/>
          <w:color w:val="auto"/>
          <w:sz w:val="24"/>
          <w:szCs w:val="24"/>
        </w:rPr>
        <w:fldChar w:fldCharType="end"/>
      </w:r>
      <w:r>
        <w:rPr>
          <w:rFonts w:hint="eastAsia" w:ascii="宋体" w:hAnsi="宋体" w:cs="宋体"/>
          <w:color w:val="auto"/>
          <w:sz w:val="24"/>
          <w:szCs w:val="24"/>
          <w:lang w:val="en-US" w:eastAsia="zh-CN"/>
        </w:rPr>
        <w:t>3</w:t>
      </w:r>
    </w:p>
    <w:p>
      <w:pPr>
        <w:adjustRightInd w:val="0"/>
        <w:snapToGrid w:val="0"/>
        <w:spacing w:line="360" w:lineRule="auto"/>
        <w:jc w:val="center"/>
        <w:rPr>
          <w:rFonts w:ascii="宋体" w:hAnsi="宋体" w:cs="宋体"/>
          <w:bCs/>
          <w:color w:val="auto"/>
          <w:spacing w:val="20"/>
          <w:sz w:val="24"/>
        </w:rPr>
      </w:pPr>
      <w:r>
        <w:rPr>
          <w:rFonts w:hint="eastAsia" w:ascii="宋体" w:hAnsi="宋体" w:cs="宋体"/>
          <w:bCs/>
          <w:color w:val="auto"/>
          <w:spacing w:val="20"/>
          <w:sz w:val="24"/>
        </w:rPr>
        <w:fldChar w:fldCharType="end"/>
      </w:r>
    </w:p>
    <w:p>
      <w:pPr>
        <w:rPr>
          <w:rFonts w:ascii="宋体" w:hAnsi="宋体" w:cs="宋体"/>
          <w:bCs/>
          <w:color w:val="auto"/>
          <w:sz w:val="24"/>
        </w:rPr>
      </w:pPr>
    </w:p>
    <w:p>
      <w:pPr>
        <w:rPr>
          <w:rFonts w:ascii="宋体" w:hAnsi="宋体" w:cs="宋体"/>
          <w:bCs/>
          <w:color w:val="auto"/>
          <w:sz w:val="24"/>
        </w:rPr>
      </w:pPr>
    </w:p>
    <w:p>
      <w:pPr>
        <w:pStyle w:val="3"/>
        <w:rPr>
          <w:rFonts w:ascii="宋体" w:hAnsi="宋体" w:cs="宋体"/>
          <w:b w:val="0"/>
          <w:color w:val="auto"/>
          <w:szCs w:val="24"/>
        </w:rPr>
      </w:pPr>
    </w:p>
    <w:p>
      <w:pPr>
        <w:rPr>
          <w:rFonts w:ascii="宋体" w:hAnsi="宋体" w:cs="宋体"/>
          <w:bCs/>
          <w:color w:val="auto"/>
          <w:sz w:val="24"/>
        </w:rPr>
      </w:pPr>
    </w:p>
    <w:p>
      <w:pPr>
        <w:spacing w:before="156" w:beforeLines="50" w:after="156" w:afterLines="50"/>
        <w:jc w:val="center"/>
        <w:rPr>
          <w:rFonts w:ascii="宋体" w:hAnsi="宋体" w:cs="宋体"/>
          <w:b/>
          <w:color w:val="auto"/>
          <w:sz w:val="32"/>
          <w:szCs w:val="32"/>
        </w:rPr>
        <w:sectPr>
          <w:footerReference r:id="rId5" w:type="first"/>
          <w:headerReference r:id="rId3" w:type="default"/>
          <w:footerReference r:id="rId4" w:type="default"/>
          <w:pgSz w:w="11907" w:h="16840"/>
          <w:pgMar w:top="1440" w:right="1800" w:bottom="1440" w:left="1800" w:header="680" w:footer="680" w:gutter="0"/>
          <w:cols w:space="720" w:num="1"/>
          <w:titlePg/>
          <w:docGrid w:type="lines" w:linePitch="312" w:charSpace="0"/>
        </w:sectPr>
      </w:pPr>
      <w:bookmarkStart w:id="4" w:name="_Toc20534"/>
      <w:r>
        <w:rPr>
          <w:rFonts w:hint="eastAsia" w:ascii="宋体"/>
          <w:b/>
          <w:color w:val="auto"/>
          <w:sz w:val="28"/>
          <w:szCs w:val="28"/>
        </w:rPr>
        <w:br w:type="page"/>
      </w:r>
    </w:p>
    <w:p>
      <w:pPr>
        <w:spacing w:before="156" w:beforeLines="50" w:after="156" w:afterLines="50" w:line="560" w:lineRule="exact"/>
        <w:jc w:val="center"/>
        <w:outlineLvl w:val="0"/>
        <w:rPr>
          <w:rFonts w:ascii="宋体" w:hAnsi="宋体" w:cs="宋体"/>
          <w:color w:val="auto"/>
          <w:sz w:val="32"/>
          <w:szCs w:val="32"/>
        </w:rPr>
      </w:pPr>
      <w:bookmarkStart w:id="5" w:name="_Toc58430304"/>
      <w:bookmarkStart w:id="6" w:name="_Toc16307"/>
      <w:bookmarkStart w:id="7" w:name="_Toc32457"/>
      <w:r>
        <w:rPr>
          <w:rFonts w:hint="eastAsia" w:ascii="宋体" w:hAnsi="宋体" w:cs="宋体"/>
          <w:b/>
          <w:bCs/>
          <w:color w:val="auto"/>
          <w:kern w:val="44"/>
          <w:sz w:val="32"/>
          <w:szCs w:val="32"/>
        </w:rPr>
        <w:t>第一章</w:t>
      </w:r>
      <w:r>
        <w:rPr>
          <w:rFonts w:hint="eastAsia" w:ascii="宋体" w:hAnsi="宋体" w:cs="宋体"/>
          <w:b/>
          <w:color w:val="auto"/>
          <w:sz w:val="32"/>
          <w:szCs w:val="32"/>
        </w:rPr>
        <w:t xml:space="preserve">  </w:t>
      </w:r>
      <w:r>
        <w:rPr>
          <w:rFonts w:hint="eastAsia" w:ascii="宋体" w:hAnsi="宋体" w:cs="宋体"/>
          <w:b/>
          <w:bCs/>
          <w:color w:val="auto"/>
          <w:kern w:val="44"/>
          <w:sz w:val="32"/>
          <w:szCs w:val="32"/>
        </w:rPr>
        <w:t>滁州市第二人民医院协同办公平台及政务云存储服务项目招标公告</w:t>
      </w:r>
      <w:bookmarkEnd w:id="5"/>
    </w:p>
    <w:p>
      <w:pPr>
        <w:spacing w:line="440" w:lineRule="exact"/>
        <w:ind w:firstLine="482" w:firstLineChars="200"/>
        <w:rPr>
          <w:rFonts w:ascii="宋体" w:hAnsi="宋体" w:cs="宋体"/>
          <w:b/>
          <w:bCs/>
          <w:color w:val="auto"/>
          <w:sz w:val="24"/>
        </w:rPr>
      </w:pPr>
      <w:bookmarkStart w:id="8" w:name="_Toc28359079"/>
      <w:bookmarkStart w:id="9" w:name="_Toc35393621"/>
      <w:bookmarkStart w:id="10" w:name="_Toc58430305"/>
      <w:bookmarkStart w:id="11" w:name="_Toc35393790"/>
      <w:bookmarkStart w:id="12" w:name="_Toc28359002"/>
      <w:bookmarkStart w:id="13" w:name="_Hlk24379207"/>
      <w:r>
        <w:rPr>
          <w:rFonts w:hint="eastAsia" w:ascii="宋体" w:hAnsi="宋体" w:cs="宋体"/>
          <w:b/>
          <w:bCs/>
          <w:color w:val="auto"/>
          <w:sz w:val="24"/>
        </w:rPr>
        <w:t>一、项目基本情况</w:t>
      </w:r>
      <w:bookmarkEnd w:id="8"/>
      <w:bookmarkEnd w:id="9"/>
      <w:bookmarkEnd w:id="10"/>
      <w:bookmarkEnd w:id="11"/>
      <w:bookmarkEnd w:id="12"/>
    </w:p>
    <w:p>
      <w:pPr>
        <w:spacing w:line="440" w:lineRule="exact"/>
        <w:ind w:firstLine="480" w:firstLineChars="200"/>
        <w:rPr>
          <w:rFonts w:ascii="宋体" w:hAnsi="宋体" w:cs="宋体"/>
          <w:color w:val="auto"/>
          <w:sz w:val="24"/>
        </w:rPr>
      </w:pPr>
      <w:r>
        <w:rPr>
          <w:rFonts w:hint="eastAsia" w:ascii="宋体" w:hAnsi="宋体" w:cs="宋体"/>
          <w:color w:val="auto"/>
          <w:sz w:val="24"/>
        </w:rPr>
        <w:t>项目名称：滁州市第二人民医院协同办公平台及政务云存储服务项目</w:t>
      </w:r>
    </w:p>
    <w:p>
      <w:pPr>
        <w:spacing w:line="440" w:lineRule="exact"/>
        <w:ind w:firstLine="480" w:firstLineChars="200"/>
        <w:rPr>
          <w:rFonts w:hint="eastAsia" w:ascii="宋体" w:hAnsi="宋体" w:eastAsia="宋体" w:cs="宋体"/>
          <w:color w:val="auto"/>
          <w:sz w:val="24"/>
          <w:lang w:eastAsia="zh-CN"/>
        </w:rPr>
      </w:pPr>
      <w:r>
        <w:rPr>
          <w:rFonts w:hint="eastAsia" w:ascii="宋体" w:hAnsi="宋体" w:cs="宋体"/>
          <w:color w:val="auto"/>
          <w:sz w:val="24"/>
        </w:rPr>
        <w:t>项目编号：</w:t>
      </w:r>
      <w:r>
        <w:rPr>
          <w:rFonts w:hint="eastAsia" w:ascii="宋体" w:hAnsi="宋体" w:cs="宋体"/>
          <w:color w:val="auto"/>
          <w:sz w:val="24"/>
          <w:lang w:eastAsia="zh-CN"/>
        </w:rPr>
        <w:t>CZEY-2024012</w:t>
      </w:r>
    </w:p>
    <w:bookmarkEnd w:id="13"/>
    <w:p>
      <w:pPr>
        <w:spacing w:line="440" w:lineRule="exact"/>
        <w:ind w:firstLine="480" w:firstLineChars="200"/>
        <w:rPr>
          <w:rFonts w:ascii="宋体" w:hAnsi="宋体" w:cs="宋体"/>
          <w:color w:val="auto"/>
          <w:sz w:val="24"/>
        </w:rPr>
      </w:pPr>
      <w:r>
        <w:rPr>
          <w:rFonts w:hint="eastAsia" w:ascii="宋体" w:hAnsi="宋体" w:cs="宋体"/>
          <w:color w:val="auto"/>
          <w:sz w:val="24"/>
        </w:rPr>
        <w:t>预算金额：10万元/年</w:t>
      </w:r>
    </w:p>
    <w:p>
      <w:pPr>
        <w:spacing w:line="440" w:lineRule="exact"/>
        <w:ind w:firstLine="480" w:firstLineChars="200"/>
        <w:rPr>
          <w:rFonts w:ascii="宋体" w:hAnsi="宋体" w:cs="宋体"/>
          <w:color w:val="auto"/>
          <w:sz w:val="24"/>
        </w:rPr>
      </w:pPr>
      <w:r>
        <w:rPr>
          <w:rFonts w:hint="eastAsia" w:ascii="宋体" w:hAnsi="宋体" w:cs="宋体"/>
          <w:color w:val="auto"/>
          <w:sz w:val="24"/>
        </w:rPr>
        <w:t>最高限价：10万元/年，投标人报价高于此限价的，其投标文件按无效标处理（小于等于此报价的为有效报价）</w:t>
      </w:r>
    </w:p>
    <w:p>
      <w:pPr>
        <w:spacing w:line="440" w:lineRule="exact"/>
        <w:ind w:firstLine="480" w:firstLineChars="200"/>
        <w:rPr>
          <w:rFonts w:ascii="宋体" w:hAnsi="宋体" w:cs="宋体"/>
          <w:color w:val="auto"/>
          <w:sz w:val="24"/>
        </w:rPr>
      </w:pPr>
      <w:r>
        <w:rPr>
          <w:rFonts w:hint="eastAsia" w:ascii="宋体" w:hAnsi="宋体" w:cs="宋体"/>
          <w:color w:val="auto"/>
          <w:sz w:val="24"/>
        </w:rPr>
        <w:t>采购需求：详见采购需求</w:t>
      </w:r>
    </w:p>
    <w:p>
      <w:pPr>
        <w:spacing w:line="440" w:lineRule="exact"/>
        <w:ind w:firstLine="480" w:firstLineChars="200"/>
        <w:rPr>
          <w:rFonts w:ascii="宋体" w:hAnsi="宋体" w:cs="宋体"/>
          <w:color w:val="auto"/>
          <w:sz w:val="24"/>
        </w:rPr>
      </w:pPr>
      <w:r>
        <w:rPr>
          <w:rFonts w:hint="eastAsia" w:ascii="宋体" w:hAnsi="宋体" w:cs="宋体"/>
          <w:color w:val="auto"/>
          <w:sz w:val="24"/>
        </w:rPr>
        <w:t>项目建设期限：自签订合同之日起40个工作日内完成合同约定内容，并根据采购人意见对个性化需求做相应调整。</w:t>
      </w:r>
    </w:p>
    <w:p>
      <w:pPr>
        <w:spacing w:line="440" w:lineRule="exact"/>
        <w:ind w:firstLine="480" w:firstLineChars="200"/>
        <w:rPr>
          <w:rFonts w:ascii="宋体" w:hAnsi="宋体" w:cs="宋体"/>
          <w:color w:val="auto"/>
          <w:sz w:val="24"/>
        </w:rPr>
      </w:pPr>
      <w:r>
        <w:rPr>
          <w:rFonts w:hint="eastAsia" w:ascii="宋体" w:hAnsi="宋体" w:cs="宋体"/>
          <w:color w:val="auto"/>
          <w:sz w:val="24"/>
        </w:rPr>
        <w:t>运维期限：自项目验收合格后起免费维护三年（合同一年一签），本系统提供终生免费升级服务。</w:t>
      </w:r>
    </w:p>
    <w:p>
      <w:pPr>
        <w:spacing w:line="440" w:lineRule="exact"/>
        <w:ind w:firstLine="480" w:firstLineChars="200"/>
        <w:rPr>
          <w:rFonts w:ascii="宋体" w:hAnsi="宋体" w:cs="宋体"/>
          <w:color w:val="auto"/>
          <w:sz w:val="24"/>
        </w:rPr>
      </w:pPr>
      <w:r>
        <w:rPr>
          <w:rFonts w:hint="eastAsia" w:ascii="宋体" w:hAnsi="宋体" w:cs="宋体"/>
          <w:color w:val="auto"/>
          <w:sz w:val="24"/>
        </w:rPr>
        <w:t>本项目不接受联合体投标。</w:t>
      </w:r>
    </w:p>
    <w:p>
      <w:pPr>
        <w:spacing w:line="440" w:lineRule="exact"/>
        <w:ind w:firstLine="482" w:firstLineChars="200"/>
        <w:rPr>
          <w:rFonts w:ascii="宋体" w:hAnsi="宋体" w:cs="宋体"/>
          <w:b/>
          <w:bCs/>
          <w:color w:val="auto"/>
          <w:sz w:val="24"/>
        </w:rPr>
      </w:pPr>
      <w:bookmarkStart w:id="14" w:name="_Toc35393791"/>
      <w:bookmarkStart w:id="15" w:name="_Toc28359080"/>
      <w:bookmarkStart w:id="16" w:name="_Toc28359003"/>
      <w:bookmarkStart w:id="17" w:name="_Toc58430306"/>
      <w:bookmarkStart w:id="18" w:name="_Toc35393622"/>
      <w:r>
        <w:rPr>
          <w:rFonts w:hint="eastAsia" w:ascii="宋体" w:hAnsi="宋体" w:cs="宋体"/>
          <w:b/>
          <w:bCs/>
          <w:color w:val="auto"/>
          <w:sz w:val="24"/>
        </w:rPr>
        <w:t>二、申请人的资格要求</w:t>
      </w:r>
      <w:bookmarkEnd w:id="14"/>
      <w:bookmarkEnd w:id="15"/>
      <w:bookmarkEnd w:id="16"/>
      <w:bookmarkEnd w:id="17"/>
      <w:bookmarkEnd w:id="18"/>
    </w:p>
    <w:p>
      <w:pPr>
        <w:spacing w:line="440" w:lineRule="exact"/>
        <w:ind w:firstLine="480" w:firstLineChars="200"/>
        <w:rPr>
          <w:rFonts w:ascii="宋体" w:hAnsi="宋体" w:cs="宋体"/>
          <w:color w:val="auto"/>
          <w:sz w:val="24"/>
        </w:rPr>
      </w:pPr>
      <w:bookmarkStart w:id="19" w:name="_Toc28359081"/>
      <w:bookmarkStart w:id="20" w:name="_Toc28359004"/>
      <w:r>
        <w:rPr>
          <w:rFonts w:hint="eastAsia" w:ascii="宋体" w:hAnsi="宋体" w:cs="宋体"/>
          <w:color w:val="auto"/>
          <w:sz w:val="24"/>
        </w:rPr>
        <w:t>1.满足《中华人民共和国政府采购法》第二十二条规定；</w:t>
      </w:r>
    </w:p>
    <w:p>
      <w:pPr>
        <w:spacing w:line="440" w:lineRule="exact"/>
        <w:ind w:firstLine="480" w:firstLineChars="200"/>
        <w:rPr>
          <w:rFonts w:ascii="宋体" w:hAnsi="宋体" w:cs="宋体"/>
          <w:color w:val="auto"/>
          <w:sz w:val="24"/>
        </w:rPr>
      </w:pPr>
      <w:r>
        <w:rPr>
          <w:rFonts w:hint="eastAsia" w:ascii="宋体" w:hAnsi="宋体" w:cs="宋体"/>
          <w:color w:val="auto"/>
          <w:sz w:val="24"/>
        </w:rPr>
        <w:t>2.落实政府采购政策需满足的资格要求：无</w:t>
      </w:r>
    </w:p>
    <w:p>
      <w:pPr>
        <w:spacing w:line="440" w:lineRule="exact"/>
        <w:ind w:firstLine="480" w:firstLineChars="200"/>
        <w:rPr>
          <w:rFonts w:ascii="宋体" w:hAnsi="宋体" w:cs="宋体"/>
          <w:color w:val="auto"/>
          <w:sz w:val="24"/>
        </w:rPr>
      </w:pPr>
      <w:r>
        <w:rPr>
          <w:rFonts w:hint="eastAsia" w:ascii="宋体" w:hAnsi="宋体" w:cs="宋体"/>
          <w:color w:val="auto"/>
          <w:sz w:val="24"/>
        </w:rPr>
        <w:t>3.本项目的特定资格要求：投标人具有有效的企业法人营业执照、税务登记证、组织机构代码证（或三证合一证书），经营范围需有相关资质；</w:t>
      </w:r>
    </w:p>
    <w:p>
      <w:pPr>
        <w:spacing w:line="440" w:lineRule="exact"/>
        <w:ind w:firstLine="480" w:firstLineChars="200"/>
        <w:rPr>
          <w:rFonts w:ascii="宋体" w:hAnsi="宋体" w:cs="宋体"/>
          <w:color w:val="auto"/>
          <w:sz w:val="24"/>
        </w:rPr>
      </w:pPr>
      <w:r>
        <w:rPr>
          <w:rFonts w:hint="eastAsia" w:ascii="宋体" w:hAnsi="宋体" w:cs="宋体"/>
          <w:color w:val="auto"/>
          <w:sz w:val="24"/>
        </w:rPr>
        <w:t>4.信誉要求：投标人不得存在以下情形：</w:t>
      </w:r>
    </w:p>
    <w:p>
      <w:pPr>
        <w:spacing w:line="440" w:lineRule="exact"/>
        <w:ind w:firstLine="480" w:firstLineChars="200"/>
        <w:rPr>
          <w:rFonts w:ascii="宋体" w:hAnsi="宋体" w:cs="宋体"/>
          <w:color w:val="auto"/>
          <w:sz w:val="24"/>
        </w:rPr>
      </w:pPr>
      <w:r>
        <w:rPr>
          <w:rFonts w:hint="eastAsia" w:ascii="宋体" w:hAnsi="宋体" w:cs="宋体"/>
          <w:color w:val="auto"/>
          <w:sz w:val="24"/>
        </w:rPr>
        <w:t>①投标人被人民法院列入失信被执行人的；</w:t>
      </w:r>
    </w:p>
    <w:p>
      <w:pPr>
        <w:spacing w:line="440" w:lineRule="exact"/>
        <w:ind w:firstLine="480" w:firstLineChars="200"/>
        <w:rPr>
          <w:rFonts w:ascii="宋体" w:hAnsi="宋体" w:cs="宋体"/>
          <w:color w:val="auto"/>
          <w:sz w:val="24"/>
        </w:rPr>
      </w:pPr>
      <w:r>
        <w:rPr>
          <w:rFonts w:hint="eastAsia" w:ascii="宋体" w:hAnsi="宋体" w:cs="宋体"/>
          <w:color w:val="auto"/>
          <w:sz w:val="24"/>
        </w:rPr>
        <w:t>②投标人或其法定代表人或拟派项目负责人前三年有行贿犯罪行为的；</w:t>
      </w:r>
    </w:p>
    <w:p>
      <w:pPr>
        <w:spacing w:line="440" w:lineRule="exact"/>
        <w:ind w:firstLine="480" w:firstLineChars="200"/>
        <w:rPr>
          <w:rFonts w:ascii="宋体" w:hAnsi="宋体" w:cs="宋体"/>
          <w:color w:val="auto"/>
          <w:sz w:val="24"/>
        </w:rPr>
      </w:pPr>
      <w:r>
        <w:rPr>
          <w:rFonts w:hint="eastAsia" w:ascii="宋体" w:hAnsi="宋体" w:cs="宋体"/>
          <w:color w:val="auto"/>
          <w:sz w:val="24"/>
        </w:rPr>
        <w:t>③投标人被市场监督管理部门列入经营异常名录或者严重违法企业名单的；</w:t>
      </w:r>
    </w:p>
    <w:p>
      <w:pPr>
        <w:spacing w:line="440" w:lineRule="exact"/>
        <w:ind w:firstLine="480" w:firstLineChars="200"/>
        <w:rPr>
          <w:rFonts w:ascii="宋体" w:hAnsi="宋体" w:cs="宋体"/>
          <w:color w:val="auto"/>
          <w:sz w:val="24"/>
        </w:rPr>
      </w:pPr>
      <w:r>
        <w:rPr>
          <w:rFonts w:hint="eastAsia" w:ascii="宋体" w:hAnsi="宋体" w:cs="宋体"/>
          <w:color w:val="auto"/>
          <w:sz w:val="24"/>
        </w:rPr>
        <w:t>④投标人被税务部门列入重大税收违法案件当事人的；</w:t>
      </w:r>
    </w:p>
    <w:p>
      <w:pPr>
        <w:spacing w:line="440" w:lineRule="exact"/>
        <w:ind w:firstLine="480" w:firstLineChars="200"/>
        <w:rPr>
          <w:rFonts w:ascii="宋体" w:hAnsi="宋体" w:cs="宋体"/>
          <w:color w:val="auto"/>
          <w:sz w:val="24"/>
        </w:rPr>
      </w:pPr>
      <w:r>
        <w:rPr>
          <w:rFonts w:hint="eastAsia" w:ascii="宋体" w:hAnsi="宋体" w:cs="宋体"/>
          <w:color w:val="auto"/>
          <w:sz w:val="24"/>
        </w:rPr>
        <w:t>⑤在“信用中国”网站上披露仍在公示期的严重失信行为的。</w:t>
      </w:r>
    </w:p>
    <w:p>
      <w:pPr>
        <w:spacing w:line="440" w:lineRule="exact"/>
        <w:ind w:firstLine="480" w:firstLineChars="200"/>
        <w:rPr>
          <w:rFonts w:ascii="宋体" w:hAnsi="宋体" w:cs="宋体"/>
          <w:color w:val="auto"/>
          <w:sz w:val="24"/>
        </w:rPr>
      </w:pPr>
      <w:r>
        <w:rPr>
          <w:rFonts w:hint="eastAsia" w:ascii="宋体" w:hAnsi="宋体" w:cs="宋体"/>
          <w:color w:val="auto"/>
          <w:sz w:val="24"/>
        </w:rPr>
        <w:t>5.投标人所属分公司、办事处等分支机构存在第4款信誉要求①-⑤项情形之一的，接受投标人参加本项目。</w:t>
      </w:r>
    </w:p>
    <w:p>
      <w:pPr>
        <w:spacing w:line="440" w:lineRule="exact"/>
        <w:ind w:firstLine="480" w:firstLineChars="200"/>
        <w:rPr>
          <w:rFonts w:ascii="宋体" w:hAnsi="宋体" w:cs="宋体"/>
          <w:color w:val="auto"/>
          <w:sz w:val="24"/>
        </w:rPr>
      </w:pPr>
      <w:r>
        <w:rPr>
          <w:rFonts w:hint="eastAsia" w:ascii="宋体" w:hAnsi="宋体" w:cs="宋体"/>
          <w:color w:val="auto"/>
          <w:sz w:val="24"/>
        </w:rPr>
        <w:t>备注：第4、5条自行查询或承诺。</w:t>
      </w:r>
    </w:p>
    <w:bookmarkEnd w:id="19"/>
    <w:bookmarkEnd w:id="20"/>
    <w:p>
      <w:pPr>
        <w:spacing w:line="440" w:lineRule="exact"/>
        <w:ind w:firstLine="482" w:firstLineChars="200"/>
        <w:rPr>
          <w:rFonts w:ascii="宋体" w:hAnsi="宋体" w:cs="宋体"/>
          <w:b/>
          <w:bCs/>
          <w:color w:val="auto"/>
          <w:sz w:val="24"/>
        </w:rPr>
      </w:pPr>
      <w:bookmarkStart w:id="21" w:name="_Toc28359007"/>
      <w:bookmarkStart w:id="22" w:name="_Toc58430309"/>
      <w:bookmarkStart w:id="23" w:name="_Toc28359084"/>
      <w:bookmarkStart w:id="24" w:name="_Toc35393625"/>
      <w:bookmarkStart w:id="25" w:name="_Toc35393794"/>
      <w:r>
        <w:rPr>
          <w:rFonts w:hint="eastAsia" w:ascii="宋体" w:hAnsi="宋体" w:cs="宋体"/>
          <w:b/>
          <w:bCs/>
          <w:color w:val="auto"/>
          <w:sz w:val="24"/>
        </w:rPr>
        <w:t>三、招标公告发布时间及文件领取方式：</w:t>
      </w:r>
    </w:p>
    <w:p>
      <w:pPr>
        <w:spacing w:line="440" w:lineRule="exact"/>
        <w:ind w:firstLine="480" w:firstLineChars="200"/>
        <w:rPr>
          <w:rFonts w:ascii="宋体" w:hAnsi="宋体" w:cs="宋体"/>
          <w:color w:val="auto"/>
          <w:sz w:val="24"/>
        </w:rPr>
      </w:pPr>
      <w:r>
        <w:rPr>
          <w:rFonts w:hint="eastAsia" w:ascii="宋体" w:hAnsi="宋体" w:cs="宋体"/>
          <w:color w:val="auto"/>
          <w:sz w:val="24"/>
        </w:rPr>
        <w:t>发布时间：2024年</w:t>
      </w:r>
      <w:r>
        <w:rPr>
          <w:rFonts w:hint="eastAsia" w:ascii="宋体" w:hAnsi="宋体" w:cs="宋体"/>
          <w:color w:val="auto"/>
          <w:sz w:val="24"/>
          <w:lang w:val="en-US" w:eastAsia="zh-CN"/>
        </w:rPr>
        <w:t>3</w:t>
      </w:r>
      <w:r>
        <w:rPr>
          <w:rFonts w:hint="eastAsia" w:ascii="宋体" w:hAnsi="宋体" w:cs="宋体"/>
          <w:color w:val="auto"/>
          <w:sz w:val="24"/>
        </w:rPr>
        <w:t>月</w:t>
      </w:r>
      <w:r>
        <w:rPr>
          <w:rFonts w:hint="eastAsia" w:ascii="宋体" w:hAnsi="宋体" w:cs="宋体"/>
          <w:color w:val="auto"/>
          <w:sz w:val="24"/>
          <w:lang w:val="en-US" w:eastAsia="zh-CN"/>
        </w:rPr>
        <w:t>8</w:t>
      </w:r>
      <w:r>
        <w:rPr>
          <w:rFonts w:hint="eastAsia" w:ascii="宋体" w:hAnsi="宋体" w:cs="宋体"/>
          <w:color w:val="auto"/>
          <w:sz w:val="24"/>
        </w:rPr>
        <w:t>日12时后</w:t>
      </w:r>
    </w:p>
    <w:p>
      <w:pPr>
        <w:spacing w:line="440" w:lineRule="exact"/>
        <w:ind w:firstLine="480" w:firstLineChars="200"/>
        <w:rPr>
          <w:rFonts w:ascii="宋体" w:hAnsi="宋体" w:cs="宋体"/>
          <w:color w:val="auto"/>
          <w:sz w:val="24"/>
        </w:rPr>
      </w:pPr>
      <w:r>
        <w:rPr>
          <w:rFonts w:hint="eastAsia" w:ascii="宋体" w:hAnsi="宋体" w:cs="宋体"/>
          <w:color w:val="auto"/>
          <w:sz w:val="24"/>
        </w:rPr>
        <w:t>领取方式：滁州市第二人民医院官网，自行下载</w:t>
      </w:r>
    </w:p>
    <w:p>
      <w:pPr>
        <w:spacing w:line="440" w:lineRule="exact"/>
        <w:ind w:firstLine="482" w:firstLineChars="200"/>
        <w:rPr>
          <w:rFonts w:ascii="宋体" w:hAnsi="宋体" w:cs="宋体"/>
          <w:b/>
          <w:bCs/>
          <w:color w:val="auto"/>
          <w:sz w:val="24"/>
        </w:rPr>
      </w:pPr>
      <w:bookmarkStart w:id="26" w:name="_Toc28359005"/>
      <w:bookmarkStart w:id="27" w:name="_Toc28359082"/>
      <w:bookmarkStart w:id="28" w:name="_Toc35393624"/>
      <w:bookmarkStart w:id="29" w:name="_Toc58430308"/>
      <w:bookmarkStart w:id="30" w:name="_Toc35393793"/>
      <w:r>
        <w:rPr>
          <w:rFonts w:hint="eastAsia" w:ascii="宋体" w:hAnsi="宋体" w:cs="宋体"/>
          <w:b/>
          <w:bCs/>
          <w:color w:val="auto"/>
          <w:sz w:val="24"/>
        </w:rPr>
        <w:t>四、投标文件递交</w:t>
      </w:r>
      <w:bookmarkEnd w:id="26"/>
      <w:bookmarkEnd w:id="27"/>
      <w:r>
        <w:rPr>
          <w:rFonts w:hint="eastAsia" w:ascii="宋体" w:hAnsi="宋体" w:cs="宋体"/>
          <w:b/>
          <w:bCs/>
          <w:color w:val="auto"/>
          <w:sz w:val="24"/>
        </w:rPr>
        <w:t>截止时间、开标时间和地点</w:t>
      </w:r>
      <w:bookmarkEnd w:id="28"/>
      <w:bookmarkEnd w:id="29"/>
      <w:bookmarkEnd w:id="30"/>
    </w:p>
    <w:p>
      <w:pPr>
        <w:spacing w:line="440" w:lineRule="exact"/>
        <w:ind w:firstLine="482" w:firstLineChars="200"/>
        <w:rPr>
          <w:rFonts w:ascii="宋体" w:hAnsi="宋体" w:cs="宋体"/>
          <w:b/>
          <w:bCs/>
          <w:color w:val="auto"/>
          <w:sz w:val="24"/>
        </w:rPr>
      </w:pPr>
      <w:r>
        <w:rPr>
          <w:rFonts w:hint="eastAsia" w:ascii="宋体" w:hAnsi="宋体" w:cs="宋体"/>
          <w:b/>
          <w:bCs/>
          <w:color w:val="auto"/>
          <w:sz w:val="24"/>
        </w:rPr>
        <w:t>2024年3月</w:t>
      </w:r>
      <w:r>
        <w:rPr>
          <w:rFonts w:hint="eastAsia" w:ascii="宋体" w:hAnsi="宋体" w:cs="宋体"/>
          <w:b/>
          <w:bCs/>
          <w:color w:val="auto"/>
          <w:sz w:val="24"/>
          <w:lang w:val="en-US" w:eastAsia="zh-CN"/>
        </w:rPr>
        <w:t>16</w:t>
      </w:r>
      <w:r>
        <w:rPr>
          <w:rFonts w:hint="eastAsia" w:ascii="宋体" w:hAnsi="宋体" w:cs="宋体"/>
          <w:b/>
          <w:bCs/>
          <w:color w:val="auto"/>
          <w:sz w:val="24"/>
        </w:rPr>
        <w:t>日</w:t>
      </w:r>
      <w:r>
        <w:rPr>
          <w:rFonts w:hint="eastAsia" w:ascii="宋体" w:hAnsi="宋体" w:cs="宋体"/>
          <w:b/>
          <w:bCs/>
          <w:color w:val="auto"/>
          <w:sz w:val="24"/>
          <w:lang w:val="en-US" w:eastAsia="zh-CN"/>
        </w:rPr>
        <w:t>8</w:t>
      </w:r>
      <w:r>
        <w:rPr>
          <w:rFonts w:hint="eastAsia" w:ascii="宋体" w:hAnsi="宋体" w:cs="宋体"/>
          <w:b/>
          <w:bCs/>
          <w:color w:val="auto"/>
          <w:sz w:val="24"/>
        </w:rPr>
        <w:t>时</w:t>
      </w:r>
      <w:r>
        <w:rPr>
          <w:rFonts w:hint="eastAsia" w:ascii="宋体" w:hAnsi="宋体" w:cs="宋体"/>
          <w:b/>
          <w:bCs/>
          <w:color w:val="auto"/>
          <w:sz w:val="24"/>
          <w:lang w:val="en-US" w:eastAsia="zh-CN"/>
        </w:rPr>
        <w:t>3</w:t>
      </w:r>
      <w:r>
        <w:rPr>
          <w:rFonts w:hint="eastAsia" w:ascii="宋体" w:hAnsi="宋体" w:cs="宋体"/>
          <w:b/>
          <w:bCs/>
          <w:color w:val="auto"/>
          <w:sz w:val="24"/>
        </w:rPr>
        <w:t>0分(北京时间)</w:t>
      </w:r>
    </w:p>
    <w:p>
      <w:pPr>
        <w:spacing w:line="440" w:lineRule="exact"/>
        <w:ind w:firstLine="480" w:firstLineChars="200"/>
        <w:rPr>
          <w:rFonts w:ascii="宋体" w:hAnsi="宋体" w:cs="宋体"/>
          <w:color w:val="auto"/>
          <w:sz w:val="24"/>
        </w:rPr>
      </w:pPr>
      <w:r>
        <w:rPr>
          <w:rFonts w:hint="eastAsia" w:ascii="宋体" w:hAnsi="宋体" w:cs="宋体"/>
          <w:color w:val="auto"/>
          <w:sz w:val="24"/>
        </w:rPr>
        <w:t>地点：滁州市第二人民医院西区至善楼</w:t>
      </w:r>
      <w:r>
        <w:rPr>
          <w:rFonts w:hint="eastAsia" w:ascii="宋体" w:hAnsi="宋体" w:cs="宋体"/>
          <w:color w:val="auto"/>
          <w:sz w:val="24"/>
          <w:lang w:val="en-US" w:eastAsia="zh-CN"/>
        </w:rPr>
        <w:t>二</w:t>
      </w:r>
      <w:r>
        <w:rPr>
          <w:rFonts w:hint="eastAsia" w:ascii="宋体" w:hAnsi="宋体" w:cs="宋体"/>
          <w:color w:val="auto"/>
          <w:sz w:val="24"/>
        </w:rPr>
        <w:t>楼第</w:t>
      </w:r>
      <w:r>
        <w:rPr>
          <w:rFonts w:hint="eastAsia" w:ascii="宋体" w:hAnsi="宋体" w:cs="宋体"/>
          <w:color w:val="auto"/>
          <w:sz w:val="24"/>
          <w:lang w:val="en-US" w:eastAsia="zh-CN"/>
        </w:rPr>
        <w:t>一</w:t>
      </w:r>
      <w:bookmarkStart w:id="747" w:name="_GoBack"/>
      <w:bookmarkEnd w:id="747"/>
      <w:r>
        <w:rPr>
          <w:rFonts w:hint="eastAsia" w:ascii="宋体" w:hAnsi="宋体" w:cs="宋体"/>
          <w:color w:val="auto"/>
          <w:sz w:val="24"/>
        </w:rPr>
        <w:t>会议室</w:t>
      </w:r>
    </w:p>
    <w:p>
      <w:pPr>
        <w:spacing w:line="440" w:lineRule="exact"/>
        <w:ind w:firstLine="482" w:firstLineChars="200"/>
        <w:rPr>
          <w:rFonts w:ascii="宋体" w:hAnsi="宋体" w:cs="宋体"/>
          <w:b/>
          <w:bCs/>
          <w:color w:val="auto"/>
          <w:sz w:val="24"/>
        </w:rPr>
      </w:pPr>
      <w:r>
        <w:rPr>
          <w:rFonts w:hint="eastAsia" w:ascii="宋体" w:hAnsi="宋体" w:cs="宋体"/>
          <w:b/>
          <w:bCs/>
          <w:color w:val="auto"/>
          <w:sz w:val="24"/>
        </w:rPr>
        <w:t>五、公告期限</w:t>
      </w:r>
      <w:bookmarkEnd w:id="21"/>
      <w:bookmarkEnd w:id="22"/>
      <w:bookmarkEnd w:id="23"/>
      <w:bookmarkEnd w:id="24"/>
      <w:bookmarkEnd w:id="25"/>
    </w:p>
    <w:p>
      <w:pPr>
        <w:spacing w:line="440" w:lineRule="exact"/>
        <w:ind w:firstLine="480" w:firstLineChars="200"/>
        <w:rPr>
          <w:rFonts w:ascii="宋体" w:hAnsi="宋体" w:cs="宋体"/>
          <w:color w:val="auto"/>
          <w:sz w:val="24"/>
        </w:rPr>
      </w:pPr>
      <w:r>
        <w:rPr>
          <w:rFonts w:hint="eastAsia" w:ascii="宋体" w:hAnsi="宋体" w:cs="宋体"/>
          <w:color w:val="auto"/>
          <w:sz w:val="24"/>
        </w:rPr>
        <w:t>自本公告发布之日起5个工作日。</w:t>
      </w:r>
    </w:p>
    <w:p>
      <w:pPr>
        <w:spacing w:line="440" w:lineRule="exact"/>
        <w:ind w:firstLine="482" w:firstLineChars="200"/>
        <w:rPr>
          <w:rFonts w:ascii="宋体" w:hAnsi="宋体" w:cs="宋体"/>
          <w:b/>
          <w:bCs/>
          <w:color w:val="auto"/>
          <w:sz w:val="24"/>
        </w:rPr>
      </w:pPr>
      <w:r>
        <w:rPr>
          <w:rFonts w:hint="eastAsia" w:ascii="宋体" w:hAnsi="宋体" w:cs="宋体"/>
          <w:b/>
          <w:bCs/>
          <w:color w:val="auto"/>
          <w:sz w:val="24"/>
        </w:rPr>
        <w:t>六、投标保证金金额及缴纳账户</w:t>
      </w:r>
    </w:p>
    <w:p>
      <w:pPr>
        <w:spacing w:line="440" w:lineRule="exact"/>
        <w:ind w:firstLine="480" w:firstLineChars="200"/>
        <w:rPr>
          <w:rFonts w:ascii="宋体" w:hAnsi="宋体" w:cs="宋体"/>
          <w:color w:val="auto"/>
          <w:sz w:val="24"/>
        </w:rPr>
      </w:pPr>
      <w:r>
        <w:rPr>
          <w:rFonts w:hint="eastAsia" w:ascii="宋体" w:hAnsi="宋体" w:cs="宋体"/>
          <w:color w:val="auto"/>
          <w:sz w:val="24"/>
        </w:rPr>
        <w:t>是否要求投标人提交投标保证金：不要求。</w:t>
      </w:r>
    </w:p>
    <w:p>
      <w:pPr>
        <w:spacing w:line="440" w:lineRule="exact"/>
        <w:ind w:firstLine="482" w:firstLineChars="200"/>
        <w:rPr>
          <w:rFonts w:ascii="宋体" w:hAnsi="宋体" w:cs="宋体"/>
          <w:b/>
          <w:bCs/>
          <w:color w:val="auto"/>
          <w:sz w:val="24"/>
        </w:rPr>
      </w:pPr>
      <w:bookmarkStart w:id="31" w:name="_Toc58430312"/>
      <w:r>
        <w:rPr>
          <w:rFonts w:hint="eastAsia" w:ascii="宋体" w:hAnsi="宋体" w:cs="宋体"/>
          <w:b/>
          <w:bCs/>
          <w:color w:val="auto"/>
          <w:sz w:val="24"/>
        </w:rPr>
        <w:t>七、对本次招标提出询问，请按以下方式联系</w:t>
      </w:r>
      <w:bookmarkEnd w:id="31"/>
    </w:p>
    <w:p>
      <w:pPr>
        <w:spacing w:line="440" w:lineRule="exact"/>
        <w:ind w:firstLine="480" w:firstLineChars="200"/>
        <w:rPr>
          <w:rFonts w:ascii="宋体" w:hAnsi="宋体" w:cs="宋体"/>
          <w:color w:val="auto"/>
          <w:sz w:val="24"/>
        </w:rPr>
      </w:pPr>
      <w:r>
        <w:rPr>
          <w:rFonts w:hint="eastAsia" w:ascii="宋体" w:hAnsi="宋体" w:cs="宋体"/>
          <w:color w:val="auto"/>
          <w:sz w:val="24"/>
        </w:rPr>
        <w:t>1.采购人信息</w:t>
      </w:r>
    </w:p>
    <w:p>
      <w:pPr>
        <w:spacing w:line="440" w:lineRule="exact"/>
        <w:ind w:firstLine="480" w:firstLineChars="200"/>
        <w:rPr>
          <w:rFonts w:ascii="宋体" w:hAnsi="宋体" w:cs="宋体"/>
          <w:color w:val="auto"/>
          <w:sz w:val="24"/>
        </w:rPr>
      </w:pPr>
      <w:r>
        <w:rPr>
          <w:rFonts w:hint="eastAsia" w:ascii="宋体" w:hAnsi="宋体" w:cs="宋体"/>
          <w:color w:val="auto"/>
          <w:sz w:val="24"/>
        </w:rPr>
        <w:t>名    称：滁州市第二人民医院（市传染病医院、市精神病医院）</w:t>
      </w:r>
    </w:p>
    <w:p>
      <w:pPr>
        <w:spacing w:line="440" w:lineRule="exact"/>
        <w:ind w:firstLine="480" w:firstLineChars="200"/>
        <w:rPr>
          <w:rFonts w:ascii="宋体" w:hAnsi="宋体" w:cs="宋体"/>
          <w:color w:val="auto"/>
          <w:sz w:val="24"/>
        </w:rPr>
      </w:pPr>
      <w:r>
        <w:rPr>
          <w:rFonts w:hint="eastAsia" w:ascii="宋体" w:hAnsi="宋体" w:cs="宋体"/>
          <w:color w:val="auto"/>
          <w:sz w:val="24"/>
        </w:rPr>
        <w:t>地    址：滁州市清流中路1401号</w:t>
      </w:r>
    </w:p>
    <w:p>
      <w:pPr>
        <w:spacing w:line="440" w:lineRule="exact"/>
        <w:ind w:firstLine="480" w:firstLineChars="200"/>
        <w:rPr>
          <w:rFonts w:ascii="宋体" w:hAnsi="宋体" w:cs="宋体"/>
          <w:color w:val="auto"/>
          <w:sz w:val="24"/>
        </w:rPr>
      </w:pPr>
      <w:r>
        <w:rPr>
          <w:rFonts w:hint="eastAsia" w:ascii="宋体" w:hAnsi="宋体" w:cs="宋体"/>
          <w:color w:val="auto"/>
          <w:sz w:val="24"/>
        </w:rPr>
        <w:t>联系方式：</w:t>
      </w:r>
      <w:bookmarkStart w:id="32" w:name="_Toc28359086"/>
      <w:bookmarkStart w:id="33" w:name="_Toc28359009"/>
      <w:r>
        <w:rPr>
          <w:rFonts w:hint="eastAsia" w:ascii="宋体" w:hAnsi="宋体" w:cs="宋体"/>
          <w:color w:val="auto"/>
          <w:sz w:val="24"/>
        </w:rPr>
        <w:t xml:space="preserve">方凯0550-3523822 </w:t>
      </w:r>
    </w:p>
    <w:p>
      <w:pPr>
        <w:spacing w:line="440" w:lineRule="exact"/>
        <w:ind w:firstLine="480" w:firstLineChars="200"/>
        <w:rPr>
          <w:rFonts w:ascii="宋体" w:hAnsi="宋体" w:cs="宋体"/>
          <w:color w:val="auto"/>
          <w:sz w:val="24"/>
        </w:rPr>
      </w:pPr>
      <w:r>
        <w:rPr>
          <w:rFonts w:hint="eastAsia" w:ascii="宋体" w:hAnsi="宋体" w:cs="宋体"/>
          <w:color w:val="auto"/>
          <w:sz w:val="24"/>
        </w:rPr>
        <w:t>2.采购代理机构信息</w:t>
      </w:r>
      <w:bookmarkEnd w:id="32"/>
      <w:bookmarkEnd w:id="33"/>
    </w:p>
    <w:p>
      <w:pPr>
        <w:spacing w:line="440" w:lineRule="exact"/>
        <w:ind w:firstLine="480" w:firstLineChars="200"/>
        <w:rPr>
          <w:rFonts w:ascii="宋体" w:hAnsi="宋体" w:cs="宋体"/>
          <w:color w:val="auto"/>
          <w:sz w:val="24"/>
        </w:rPr>
      </w:pPr>
      <w:r>
        <w:rPr>
          <w:rFonts w:hint="eastAsia" w:ascii="宋体" w:hAnsi="宋体" w:cs="宋体"/>
          <w:color w:val="auto"/>
          <w:sz w:val="24"/>
        </w:rPr>
        <w:t>名    称：江苏川页工程项目管理有限公司</w:t>
      </w:r>
    </w:p>
    <w:p>
      <w:pPr>
        <w:spacing w:line="440" w:lineRule="exact"/>
        <w:ind w:firstLine="480" w:firstLineChars="200"/>
        <w:rPr>
          <w:rFonts w:ascii="宋体" w:hAnsi="宋体" w:cs="宋体"/>
          <w:color w:val="auto"/>
          <w:sz w:val="24"/>
        </w:rPr>
      </w:pPr>
      <w:r>
        <w:rPr>
          <w:rFonts w:hint="eastAsia" w:ascii="宋体" w:hAnsi="宋体" w:cs="宋体"/>
          <w:color w:val="auto"/>
          <w:sz w:val="24"/>
        </w:rPr>
        <w:t>地  　址：滁州市世贸大厦A座18楼1818室</w:t>
      </w:r>
    </w:p>
    <w:p>
      <w:pPr>
        <w:spacing w:line="440" w:lineRule="exact"/>
        <w:ind w:firstLine="480" w:firstLineChars="200"/>
        <w:rPr>
          <w:rFonts w:ascii="宋体" w:hAnsi="宋体" w:cs="宋体"/>
          <w:color w:val="auto"/>
          <w:sz w:val="24"/>
        </w:rPr>
      </w:pPr>
      <w:r>
        <w:rPr>
          <w:rFonts w:hint="eastAsia" w:ascii="宋体" w:hAnsi="宋体" w:cs="宋体"/>
          <w:color w:val="auto"/>
          <w:sz w:val="24"/>
        </w:rPr>
        <w:t>联系方式：</w:t>
      </w:r>
      <w:bookmarkStart w:id="34" w:name="_Toc28359087"/>
      <w:bookmarkStart w:id="35" w:name="_Toc28359010"/>
      <w:r>
        <w:rPr>
          <w:rFonts w:hint="eastAsia" w:ascii="宋体" w:hAnsi="宋体" w:cs="宋体"/>
          <w:color w:val="auto"/>
          <w:sz w:val="24"/>
        </w:rPr>
        <w:t>赵建飞18755018236</w:t>
      </w:r>
    </w:p>
    <w:p>
      <w:pPr>
        <w:spacing w:line="440" w:lineRule="exact"/>
        <w:ind w:firstLine="480" w:firstLineChars="200"/>
        <w:rPr>
          <w:rFonts w:ascii="宋体" w:hAnsi="宋体" w:cs="宋体"/>
          <w:color w:val="auto"/>
          <w:sz w:val="24"/>
        </w:rPr>
      </w:pPr>
      <w:r>
        <w:rPr>
          <w:rFonts w:hint="eastAsia" w:ascii="宋体" w:hAnsi="宋体" w:cs="宋体"/>
          <w:color w:val="auto"/>
          <w:sz w:val="24"/>
        </w:rPr>
        <w:t>3.项目联系方式</w:t>
      </w:r>
      <w:bookmarkEnd w:id="34"/>
      <w:bookmarkEnd w:id="35"/>
    </w:p>
    <w:p>
      <w:pPr>
        <w:spacing w:line="440" w:lineRule="exact"/>
        <w:ind w:firstLine="480" w:firstLineChars="200"/>
        <w:rPr>
          <w:rFonts w:ascii="宋体" w:hAnsi="宋体" w:cs="宋体"/>
          <w:color w:val="auto"/>
          <w:sz w:val="24"/>
        </w:rPr>
      </w:pPr>
      <w:r>
        <w:rPr>
          <w:rFonts w:hint="eastAsia" w:ascii="宋体" w:hAnsi="宋体" w:cs="宋体"/>
          <w:color w:val="auto"/>
          <w:sz w:val="24"/>
        </w:rPr>
        <w:t>项目联系人：方凯、赵建飞</w:t>
      </w:r>
    </w:p>
    <w:p>
      <w:pPr>
        <w:spacing w:line="440" w:lineRule="exact"/>
        <w:ind w:firstLine="480" w:firstLineChars="200"/>
        <w:rPr>
          <w:rFonts w:ascii="宋体" w:hAnsi="宋体" w:cs="宋体"/>
          <w:color w:val="auto"/>
          <w:sz w:val="24"/>
        </w:rPr>
      </w:pPr>
      <w:r>
        <w:rPr>
          <w:rFonts w:hint="eastAsia" w:ascii="宋体" w:hAnsi="宋体" w:cs="宋体"/>
          <w:color w:val="auto"/>
          <w:sz w:val="24"/>
        </w:rPr>
        <w:t>电　  话：0550-3523822 、18755018236</w:t>
      </w:r>
    </w:p>
    <w:p>
      <w:pPr>
        <w:spacing w:line="440" w:lineRule="exact"/>
        <w:ind w:firstLine="480" w:firstLineChars="200"/>
        <w:rPr>
          <w:rFonts w:ascii="宋体" w:hAnsi="宋体" w:cs="宋体"/>
          <w:color w:val="auto"/>
          <w:sz w:val="24"/>
        </w:rPr>
      </w:pPr>
    </w:p>
    <w:p>
      <w:pPr>
        <w:spacing w:line="440" w:lineRule="exact"/>
        <w:ind w:firstLine="480" w:firstLineChars="200"/>
        <w:rPr>
          <w:rFonts w:ascii="宋体" w:hAnsi="宋体" w:cs="宋体"/>
          <w:color w:val="auto"/>
          <w:sz w:val="24"/>
        </w:rPr>
      </w:pPr>
    </w:p>
    <w:p>
      <w:pPr>
        <w:spacing w:line="440" w:lineRule="exact"/>
        <w:ind w:firstLine="480" w:firstLineChars="200"/>
        <w:rPr>
          <w:rFonts w:ascii="宋体" w:hAnsi="宋体" w:cs="宋体"/>
          <w:color w:val="auto"/>
          <w:sz w:val="24"/>
        </w:rPr>
      </w:pPr>
    </w:p>
    <w:p>
      <w:pPr>
        <w:spacing w:line="440" w:lineRule="exact"/>
        <w:ind w:firstLine="480" w:firstLineChars="200"/>
        <w:rPr>
          <w:rFonts w:ascii="宋体" w:hAnsi="宋体" w:cs="宋体"/>
          <w:color w:val="auto"/>
          <w:sz w:val="24"/>
        </w:rPr>
      </w:pPr>
    </w:p>
    <w:p>
      <w:pPr>
        <w:spacing w:line="440" w:lineRule="exact"/>
        <w:ind w:firstLine="480" w:firstLineChars="200"/>
        <w:rPr>
          <w:rFonts w:ascii="宋体" w:hAnsi="宋体" w:cs="宋体"/>
          <w:color w:val="auto"/>
          <w:sz w:val="24"/>
        </w:rPr>
      </w:pPr>
    </w:p>
    <w:p>
      <w:pPr>
        <w:spacing w:line="440" w:lineRule="exact"/>
        <w:ind w:firstLine="480" w:firstLineChars="200"/>
        <w:rPr>
          <w:rFonts w:ascii="宋体" w:hAnsi="宋体" w:cs="宋体"/>
          <w:color w:val="auto"/>
          <w:sz w:val="24"/>
        </w:rPr>
      </w:pPr>
    </w:p>
    <w:p>
      <w:pPr>
        <w:spacing w:line="440" w:lineRule="exact"/>
        <w:ind w:firstLine="480" w:firstLineChars="200"/>
        <w:rPr>
          <w:rFonts w:ascii="宋体" w:hAnsi="宋体" w:cs="宋体"/>
          <w:color w:val="auto"/>
          <w:sz w:val="24"/>
        </w:rPr>
      </w:pPr>
    </w:p>
    <w:p>
      <w:pPr>
        <w:spacing w:line="440" w:lineRule="exact"/>
        <w:ind w:firstLine="480" w:firstLineChars="200"/>
        <w:rPr>
          <w:rFonts w:ascii="宋体" w:hAnsi="宋体" w:cs="宋体"/>
          <w:color w:val="auto"/>
          <w:sz w:val="24"/>
        </w:rPr>
      </w:pPr>
    </w:p>
    <w:p>
      <w:pPr>
        <w:spacing w:line="440" w:lineRule="exact"/>
        <w:ind w:firstLine="480" w:firstLineChars="200"/>
        <w:rPr>
          <w:rFonts w:ascii="宋体" w:hAnsi="宋体" w:cs="宋体"/>
          <w:color w:val="auto"/>
          <w:sz w:val="24"/>
        </w:rPr>
      </w:pPr>
    </w:p>
    <w:p>
      <w:pPr>
        <w:spacing w:line="440" w:lineRule="exact"/>
        <w:ind w:firstLine="480" w:firstLineChars="200"/>
        <w:rPr>
          <w:rFonts w:ascii="宋体" w:hAnsi="宋体" w:cs="宋体"/>
          <w:color w:val="auto"/>
          <w:sz w:val="24"/>
        </w:rPr>
      </w:pPr>
    </w:p>
    <w:p>
      <w:pPr>
        <w:spacing w:line="440" w:lineRule="exact"/>
        <w:ind w:firstLine="480" w:firstLineChars="200"/>
        <w:rPr>
          <w:rFonts w:ascii="宋体" w:hAnsi="宋体" w:cs="宋体"/>
          <w:color w:val="auto"/>
          <w:sz w:val="24"/>
        </w:rPr>
      </w:pPr>
    </w:p>
    <w:p>
      <w:pPr>
        <w:spacing w:before="156" w:beforeLines="50" w:after="156" w:afterLines="50"/>
        <w:jc w:val="center"/>
        <w:outlineLvl w:val="0"/>
        <w:rPr>
          <w:rFonts w:ascii="宋体"/>
          <w:b/>
          <w:color w:val="auto"/>
          <w:sz w:val="32"/>
          <w:szCs w:val="32"/>
        </w:rPr>
      </w:pPr>
      <w:bookmarkStart w:id="36" w:name="_Toc58430313"/>
      <w:r>
        <w:rPr>
          <w:rFonts w:hint="eastAsia" w:ascii="宋体"/>
          <w:b/>
          <w:color w:val="auto"/>
          <w:sz w:val="32"/>
          <w:szCs w:val="32"/>
        </w:rPr>
        <w:t>第二章 投标人须知</w:t>
      </w:r>
      <w:bookmarkEnd w:id="36"/>
    </w:p>
    <w:p>
      <w:pPr>
        <w:snapToGrid w:val="0"/>
        <w:spacing w:line="500" w:lineRule="exact"/>
        <w:jc w:val="center"/>
        <w:outlineLvl w:val="1"/>
        <w:rPr>
          <w:rFonts w:ascii="宋体"/>
          <w:b/>
          <w:color w:val="auto"/>
          <w:sz w:val="28"/>
          <w:szCs w:val="28"/>
        </w:rPr>
      </w:pPr>
      <w:bookmarkStart w:id="37" w:name="_Toc449028865"/>
      <w:bookmarkStart w:id="38" w:name="_Toc58430314"/>
      <w:r>
        <w:rPr>
          <w:rFonts w:hint="eastAsia" w:ascii="宋体"/>
          <w:b/>
          <w:color w:val="auto"/>
          <w:sz w:val="32"/>
          <w:szCs w:val="32"/>
        </w:rPr>
        <w:t>一、</w:t>
      </w:r>
      <w:r>
        <w:rPr>
          <w:rFonts w:hint="eastAsia" w:ascii="宋体"/>
          <w:b/>
          <w:color w:val="auto"/>
          <w:sz w:val="28"/>
          <w:szCs w:val="28"/>
        </w:rPr>
        <w:t>投标人须知前附表</w:t>
      </w:r>
      <w:bookmarkEnd w:id="37"/>
      <w:bookmarkEnd w:id="38"/>
    </w:p>
    <w:tbl>
      <w:tblPr>
        <w:tblStyle w:val="51"/>
        <w:tblW w:w="10197"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670"/>
        <w:gridCol w:w="2400"/>
        <w:gridCol w:w="7127"/>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6" w:hRule="atLeast"/>
          <w:jc w:val="center"/>
        </w:trPr>
        <w:tc>
          <w:tcPr>
            <w:tcW w:w="670" w:type="dxa"/>
            <w:vAlign w:val="center"/>
          </w:tcPr>
          <w:p>
            <w:pPr>
              <w:pStyle w:val="24"/>
              <w:spacing w:line="360" w:lineRule="exact"/>
              <w:jc w:val="center"/>
              <w:rPr>
                <w:rFonts w:ascii="宋体" w:hAnsi="宋体" w:cs="宋体"/>
                <w:b/>
                <w:color w:val="auto"/>
                <w:szCs w:val="21"/>
              </w:rPr>
            </w:pPr>
            <w:r>
              <w:rPr>
                <w:rFonts w:hint="eastAsia" w:ascii="宋体" w:hAnsi="宋体" w:cs="宋体"/>
                <w:b/>
                <w:color w:val="auto"/>
                <w:szCs w:val="21"/>
              </w:rPr>
              <w:t>序号</w:t>
            </w:r>
          </w:p>
        </w:tc>
        <w:tc>
          <w:tcPr>
            <w:tcW w:w="2400" w:type="dxa"/>
            <w:vAlign w:val="center"/>
          </w:tcPr>
          <w:p>
            <w:pPr>
              <w:pStyle w:val="24"/>
              <w:spacing w:line="360" w:lineRule="exact"/>
              <w:jc w:val="center"/>
              <w:rPr>
                <w:rFonts w:ascii="宋体" w:hAnsi="宋体" w:cs="宋体"/>
                <w:b/>
                <w:color w:val="auto"/>
                <w:szCs w:val="21"/>
              </w:rPr>
            </w:pPr>
            <w:r>
              <w:rPr>
                <w:rFonts w:hint="eastAsia" w:ascii="宋体" w:hAnsi="宋体" w:cs="宋体"/>
                <w:b/>
                <w:color w:val="auto"/>
                <w:szCs w:val="21"/>
              </w:rPr>
              <w:t>内容</w:t>
            </w:r>
          </w:p>
        </w:tc>
        <w:tc>
          <w:tcPr>
            <w:tcW w:w="7127" w:type="dxa"/>
            <w:vAlign w:val="center"/>
          </w:tcPr>
          <w:p>
            <w:pPr>
              <w:pStyle w:val="24"/>
              <w:spacing w:line="360" w:lineRule="exact"/>
              <w:jc w:val="center"/>
              <w:rPr>
                <w:rFonts w:ascii="宋体" w:hAnsi="宋体" w:cs="宋体"/>
                <w:b/>
                <w:color w:val="auto"/>
                <w:szCs w:val="21"/>
              </w:rPr>
            </w:pPr>
            <w:r>
              <w:rPr>
                <w:rFonts w:hint="eastAsia" w:ascii="宋体" w:hAnsi="宋体" w:cs="宋体"/>
                <w:b/>
                <w:color w:val="auto"/>
                <w:szCs w:val="21"/>
              </w:rPr>
              <w:t>说明与要求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49" w:hRule="atLeast"/>
          <w:jc w:val="center"/>
        </w:trPr>
        <w:tc>
          <w:tcPr>
            <w:tcW w:w="670" w:type="dxa"/>
            <w:vAlign w:val="center"/>
          </w:tcPr>
          <w:p>
            <w:pPr>
              <w:pStyle w:val="24"/>
              <w:numPr>
                <w:ilvl w:val="0"/>
                <w:numId w:val="1"/>
              </w:numPr>
              <w:spacing w:line="360" w:lineRule="exact"/>
              <w:jc w:val="center"/>
              <w:rPr>
                <w:rFonts w:ascii="宋体" w:hAnsi="宋体" w:cs="宋体"/>
                <w:color w:val="auto"/>
                <w:szCs w:val="21"/>
              </w:rPr>
            </w:pPr>
          </w:p>
        </w:tc>
        <w:tc>
          <w:tcPr>
            <w:tcW w:w="2400" w:type="dxa"/>
            <w:vAlign w:val="center"/>
          </w:tcPr>
          <w:p>
            <w:pPr>
              <w:pStyle w:val="24"/>
              <w:spacing w:line="360" w:lineRule="exact"/>
              <w:jc w:val="left"/>
              <w:rPr>
                <w:rFonts w:ascii="宋体" w:hAnsi="宋体" w:cs="宋体"/>
                <w:color w:val="auto"/>
                <w:szCs w:val="21"/>
              </w:rPr>
            </w:pPr>
            <w:r>
              <w:rPr>
                <w:rFonts w:hint="eastAsia" w:ascii="宋体" w:hAnsi="宋体" w:cs="宋体"/>
                <w:color w:val="auto"/>
                <w:szCs w:val="21"/>
              </w:rPr>
              <w:t>项目名称</w:t>
            </w:r>
          </w:p>
        </w:tc>
        <w:tc>
          <w:tcPr>
            <w:tcW w:w="7127" w:type="dxa"/>
            <w:vAlign w:val="center"/>
          </w:tcPr>
          <w:p>
            <w:pPr>
              <w:pStyle w:val="24"/>
              <w:spacing w:line="360" w:lineRule="exact"/>
              <w:rPr>
                <w:rFonts w:ascii="宋体" w:hAnsi="宋体" w:cs="宋体"/>
                <w:color w:val="auto"/>
                <w:szCs w:val="21"/>
              </w:rPr>
            </w:pPr>
            <w:r>
              <w:rPr>
                <w:rFonts w:hint="eastAsia" w:ascii="宋体" w:hAnsi="宋体" w:cs="宋体"/>
                <w:color w:val="auto"/>
                <w:szCs w:val="21"/>
              </w:rPr>
              <w:t>滁州市第二人民医院协同办公平台及政务云存储服务项目</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96" w:hRule="atLeast"/>
          <w:jc w:val="center"/>
        </w:trPr>
        <w:tc>
          <w:tcPr>
            <w:tcW w:w="670" w:type="dxa"/>
            <w:vAlign w:val="center"/>
          </w:tcPr>
          <w:p>
            <w:pPr>
              <w:pStyle w:val="24"/>
              <w:numPr>
                <w:ilvl w:val="0"/>
                <w:numId w:val="1"/>
              </w:numPr>
              <w:spacing w:line="360" w:lineRule="exact"/>
              <w:jc w:val="center"/>
              <w:rPr>
                <w:rFonts w:ascii="宋体" w:hAnsi="宋体" w:cs="宋体"/>
                <w:b/>
                <w:bCs/>
                <w:color w:val="auto"/>
                <w:szCs w:val="21"/>
              </w:rPr>
            </w:pPr>
          </w:p>
        </w:tc>
        <w:tc>
          <w:tcPr>
            <w:tcW w:w="2400" w:type="dxa"/>
            <w:vAlign w:val="center"/>
          </w:tcPr>
          <w:p>
            <w:pPr>
              <w:pStyle w:val="24"/>
              <w:spacing w:line="360" w:lineRule="exact"/>
              <w:jc w:val="left"/>
              <w:rPr>
                <w:rFonts w:ascii="宋体" w:hAnsi="宋体" w:cs="宋体"/>
                <w:b/>
                <w:bCs/>
                <w:color w:val="auto"/>
                <w:szCs w:val="21"/>
              </w:rPr>
            </w:pPr>
            <w:r>
              <w:rPr>
                <w:rFonts w:hint="eastAsia" w:ascii="宋体" w:hAnsi="宋体" w:cs="宋体"/>
                <w:b/>
                <w:bCs/>
                <w:color w:val="auto"/>
                <w:szCs w:val="21"/>
              </w:rPr>
              <w:t>服务期</w:t>
            </w:r>
          </w:p>
        </w:tc>
        <w:tc>
          <w:tcPr>
            <w:tcW w:w="7127" w:type="dxa"/>
            <w:vAlign w:val="center"/>
          </w:tcPr>
          <w:p>
            <w:pPr>
              <w:pStyle w:val="24"/>
              <w:spacing w:line="360" w:lineRule="exact"/>
              <w:rPr>
                <w:rFonts w:ascii="宋体" w:hAnsi="宋体" w:cs="宋体"/>
                <w:b/>
                <w:bCs/>
                <w:color w:val="auto"/>
                <w:szCs w:val="21"/>
              </w:rPr>
            </w:pPr>
            <w:r>
              <w:rPr>
                <w:rFonts w:hint="eastAsia" w:ascii="宋体" w:hAnsi="宋体" w:cs="宋体"/>
                <w:b/>
                <w:bCs/>
                <w:color w:val="auto"/>
                <w:szCs w:val="21"/>
              </w:rPr>
              <w:t>项目建设期限：自签订合同之日起40个工作日内完成合同约定内容，并根据采购人意见对个性化需求做相应调整。</w:t>
            </w:r>
          </w:p>
          <w:p>
            <w:pPr>
              <w:pStyle w:val="24"/>
              <w:spacing w:line="360" w:lineRule="exact"/>
              <w:rPr>
                <w:rFonts w:ascii="宋体" w:hAnsi="宋体" w:cs="宋体"/>
                <w:b/>
                <w:bCs/>
                <w:color w:val="auto"/>
                <w:szCs w:val="21"/>
              </w:rPr>
            </w:pPr>
            <w:r>
              <w:rPr>
                <w:rFonts w:hint="eastAsia" w:ascii="宋体" w:hAnsi="宋体" w:cs="宋体"/>
                <w:b/>
                <w:bCs/>
                <w:color w:val="auto"/>
                <w:szCs w:val="21"/>
              </w:rPr>
              <w:t>运维期限：自项目验收合格后起免费维护三年（合同一年一签），本系统提供终生免费升级服务。</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9" w:hRule="atLeast"/>
          <w:jc w:val="center"/>
        </w:trPr>
        <w:tc>
          <w:tcPr>
            <w:tcW w:w="670" w:type="dxa"/>
            <w:vAlign w:val="center"/>
          </w:tcPr>
          <w:p>
            <w:pPr>
              <w:pStyle w:val="24"/>
              <w:numPr>
                <w:ilvl w:val="0"/>
                <w:numId w:val="1"/>
              </w:numPr>
              <w:spacing w:line="360" w:lineRule="exact"/>
              <w:jc w:val="center"/>
              <w:rPr>
                <w:rFonts w:ascii="宋体" w:hAnsi="宋体" w:cs="宋体"/>
                <w:color w:val="auto"/>
                <w:szCs w:val="21"/>
              </w:rPr>
            </w:pPr>
          </w:p>
        </w:tc>
        <w:tc>
          <w:tcPr>
            <w:tcW w:w="2400" w:type="dxa"/>
            <w:vAlign w:val="center"/>
          </w:tcPr>
          <w:p>
            <w:pPr>
              <w:pStyle w:val="24"/>
              <w:spacing w:line="360" w:lineRule="exact"/>
              <w:jc w:val="left"/>
              <w:rPr>
                <w:rFonts w:ascii="宋体" w:hAnsi="宋体" w:cs="宋体"/>
                <w:color w:val="auto"/>
                <w:szCs w:val="21"/>
              </w:rPr>
            </w:pPr>
            <w:r>
              <w:rPr>
                <w:rFonts w:hint="eastAsia" w:ascii="宋体" w:hAnsi="宋体" w:cs="宋体"/>
                <w:color w:val="auto"/>
                <w:szCs w:val="21"/>
              </w:rPr>
              <w:t>服务地点</w:t>
            </w:r>
          </w:p>
        </w:tc>
        <w:tc>
          <w:tcPr>
            <w:tcW w:w="7127" w:type="dxa"/>
            <w:vAlign w:val="center"/>
          </w:tcPr>
          <w:p>
            <w:pPr>
              <w:pStyle w:val="24"/>
              <w:spacing w:line="360" w:lineRule="exact"/>
              <w:rPr>
                <w:rFonts w:ascii="宋体" w:hAnsi="宋体" w:cs="宋体"/>
                <w:color w:val="auto"/>
                <w:szCs w:val="21"/>
              </w:rPr>
            </w:pPr>
            <w:r>
              <w:rPr>
                <w:rFonts w:hint="eastAsia" w:ascii="宋体" w:hAnsi="宋体" w:cs="宋体"/>
                <w:color w:val="auto"/>
                <w:szCs w:val="21"/>
              </w:rPr>
              <w:t>采购人指定地点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28" w:hRule="atLeast"/>
          <w:jc w:val="center"/>
        </w:trPr>
        <w:tc>
          <w:tcPr>
            <w:tcW w:w="670" w:type="dxa"/>
            <w:vAlign w:val="center"/>
          </w:tcPr>
          <w:p>
            <w:pPr>
              <w:pStyle w:val="24"/>
              <w:numPr>
                <w:ilvl w:val="0"/>
                <w:numId w:val="1"/>
              </w:numPr>
              <w:spacing w:line="360" w:lineRule="exact"/>
              <w:jc w:val="center"/>
              <w:rPr>
                <w:rFonts w:ascii="宋体" w:hAnsi="宋体" w:cs="宋体"/>
                <w:color w:val="auto"/>
                <w:szCs w:val="21"/>
              </w:rPr>
            </w:pPr>
          </w:p>
        </w:tc>
        <w:tc>
          <w:tcPr>
            <w:tcW w:w="2400" w:type="dxa"/>
            <w:vAlign w:val="center"/>
          </w:tcPr>
          <w:p>
            <w:pPr>
              <w:pStyle w:val="24"/>
              <w:spacing w:line="360" w:lineRule="exact"/>
              <w:jc w:val="left"/>
              <w:rPr>
                <w:rFonts w:ascii="宋体" w:hAnsi="宋体" w:cs="宋体"/>
                <w:color w:val="auto"/>
                <w:szCs w:val="21"/>
              </w:rPr>
            </w:pPr>
            <w:r>
              <w:rPr>
                <w:rFonts w:hint="eastAsia" w:ascii="宋体" w:hAnsi="宋体" w:cs="宋体"/>
                <w:color w:val="auto"/>
                <w:szCs w:val="21"/>
              </w:rPr>
              <w:t>采购人联系人及电话</w:t>
            </w:r>
          </w:p>
        </w:tc>
        <w:tc>
          <w:tcPr>
            <w:tcW w:w="7127" w:type="dxa"/>
            <w:vAlign w:val="center"/>
          </w:tcPr>
          <w:p>
            <w:pPr>
              <w:pStyle w:val="24"/>
              <w:spacing w:line="360" w:lineRule="exact"/>
              <w:rPr>
                <w:rFonts w:ascii="宋体" w:hAnsi="宋体" w:cs="宋体"/>
                <w:color w:val="auto"/>
                <w:szCs w:val="21"/>
              </w:rPr>
            </w:pPr>
            <w:r>
              <w:rPr>
                <w:rFonts w:hint="eastAsia" w:ascii="宋体" w:hAnsi="宋体" w:cs="宋体"/>
                <w:color w:val="auto"/>
                <w:szCs w:val="21"/>
              </w:rPr>
              <w:t xml:space="preserve">方凯 0550-3523822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63" w:hRule="atLeast"/>
          <w:jc w:val="center"/>
        </w:trPr>
        <w:tc>
          <w:tcPr>
            <w:tcW w:w="670" w:type="dxa"/>
            <w:vAlign w:val="center"/>
          </w:tcPr>
          <w:p>
            <w:pPr>
              <w:pStyle w:val="24"/>
              <w:numPr>
                <w:ilvl w:val="0"/>
                <w:numId w:val="1"/>
              </w:numPr>
              <w:spacing w:line="360" w:lineRule="exact"/>
              <w:jc w:val="center"/>
              <w:rPr>
                <w:rFonts w:ascii="宋体" w:hAnsi="宋体" w:cs="宋体"/>
                <w:color w:val="auto"/>
                <w:szCs w:val="21"/>
              </w:rPr>
            </w:pPr>
          </w:p>
        </w:tc>
        <w:tc>
          <w:tcPr>
            <w:tcW w:w="2400" w:type="dxa"/>
            <w:vAlign w:val="center"/>
          </w:tcPr>
          <w:p>
            <w:pPr>
              <w:pStyle w:val="24"/>
              <w:spacing w:line="360" w:lineRule="exact"/>
              <w:jc w:val="left"/>
              <w:rPr>
                <w:rFonts w:ascii="宋体" w:hAnsi="宋体" w:cs="宋体"/>
                <w:color w:val="auto"/>
                <w:szCs w:val="21"/>
              </w:rPr>
            </w:pPr>
            <w:r>
              <w:rPr>
                <w:rFonts w:hint="eastAsia" w:ascii="宋体" w:hAnsi="宋体" w:cs="宋体"/>
                <w:color w:val="auto"/>
                <w:szCs w:val="21"/>
              </w:rPr>
              <w:t>采购代理机构联系人及电话</w:t>
            </w:r>
          </w:p>
        </w:tc>
        <w:tc>
          <w:tcPr>
            <w:tcW w:w="7127" w:type="dxa"/>
            <w:vAlign w:val="center"/>
          </w:tcPr>
          <w:p>
            <w:pPr>
              <w:pStyle w:val="24"/>
              <w:spacing w:line="360" w:lineRule="exact"/>
              <w:rPr>
                <w:rFonts w:ascii="宋体" w:hAnsi="宋体" w:cs="宋体"/>
                <w:color w:val="auto"/>
                <w:szCs w:val="21"/>
              </w:rPr>
            </w:pPr>
            <w:r>
              <w:rPr>
                <w:rFonts w:hint="eastAsia" w:ascii="宋体" w:hAnsi="宋体" w:cs="宋体"/>
                <w:color w:val="auto"/>
                <w:szCs w:val="21"/>
              </w:rPr>
              <w:t>赵建飞 18755018236</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57" w:hRule="atLeast"/>
          <w:jc w:val="center"/>
        </w:trPr>
        <w:tc>
          <w:tcPr>
            <w:tcW w:w="670" w:type="dxa"/>
            <w:vAlign w:val="center"/>
          </w:tcPr>
          <w:p>
            <w:pPr>
              <w:pStyle w:val="24"/>
              <w:numPr>
                <w:ilvl w:val="0"/>
                <w:numId w:val="1"/>
              </w:numPr>
              <w:spacing w:line="360" w:lineRule="exact"/>
              <w:jc w:val="center"/>
              <w:rPr>
                <w:rFonts w:ascii="宋体" w:hAnsi="宋体" w:cs="宋体"/>
                <w:color w:val="auto"/>
                <w:szCs w:val="21"/>
              </w:rPr>
            </w:pPr>
          </w:p>
        </w:tc>
        <w:tc>
          <w:tcPr>
            <w:tcW w:w="2400" w:type="dxa"/>
            <w:vAlign w:val="center"/>
          </w:tcPr>
          <w:p>
            <w:pPr>
              <w:pStyle w:val="24"/>
              <w:spacing w:line="360" w:lineRule="exact"/>
              <w:jc w:val="left"/>
              <w:rPr>
                <w:rFonts w:ascii="宋体" w:hAnsi="宋体" w:cs="宋体"/>
                <w:color w:val="auto"/>
                <w:szCs w:val="21"/>
              </w:rPr>
            </w:pPr>
            <w:r>
              <w:rPr>
                <w:rFonts w:hint="eastAsia" w:ascii="宋体" w:hAnsi="宋体" w:cs="宋体"/>
                <w:color w:val="auto"/>
                <w:szCs w:val="21"/>
              </w:rPr>
              <w:t xml:space="preserve">资金来源                                                                                                                                                                 </w:t>
            </w:r>
          </w:p>
        </w:tc>
        <w:tc>
          <w:tcPr>
            <w:tcW w:w="7127" w:type="dxa"/>
            <w:vAlign w:val="center"/>
          </w:tcPr>
          <w:p>
            <w:pPr>
              <w:pStyle w:val="24"/>
              <w:spacing w:line="360" w:lineRule="exact"/>
              <w:rPr>
                <w:rFonts w:ascii="宋体" w:hAnsi="宋体" w:cs="宋体"/>
                <w:color w:val="auto"/>
                <w:szCs w:val="21"/>
              </w:rPr>
            </w:pPr>
            <w:r>
              <w:rPr>
                <w:rFonts w:hint="eastAsia" w:ascii="宋体" w:hAnsi="宋体" w:cs="宋体"/>
                <w:color w:val="auto"/>
                <w:szCs w:val="21"/>
              </w:rPr>
              <w:t>财政资金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82" w:hRule="atLeast"/>
          <w:jc w:val="center"/>
        </w:trPr>
        <w:tc>
          <w:tcPr>
            <w:tcW w:w="670" w:type="dxa"/>
            <w:vAlign w:val="center"/>
          </w:tcPr>
          <w:p>
            <w:pPr>
              <w:pStyle w:val="24"/>
              <w:numPr>
                <w:ilvl w:val="0"/>
                <w:numId w:val="1"/>
              </w:numPr>
              <w:spacing w:line="360" w:lineRule="exact"/>
              <w:jc w:val="center"/>
              <w:rPr>
                <w:rFonts w:ascii="宋体" w:hAnsi="宋体" w:cs="宋体"/>
                <w:color w:val="auto"/>
                <w:szCs w:val="21"/>
              </w:rPr>
            </w:pPr>
          </w:p>
        </w:tc>
        <w:tc>
          <w:tcPr>
            <w:tcW w:w="2400" w:type="dxa"/>
            <w:vAlign w:val="center"/>
          </w:tcPr>
          <w:p>
            <w:pPr>
              <w:pStyle w:val="24"/>
              <w:spacing w:line="360" w:lineRule="exact"/>
              <w:rPr>
                <w:rFonts w:ascii="宋体" w:hAnsi="宋体" w:cs="宋体"/>
                <w:color w:val="auto"/>
                <w:szCs w:val="21"/>
              </w:rPr>
            </w:pPr>
            <w:r>
              <w:rPr>
                <w:rFonts w:hint="eastAsia" w:ascii="宋体" w:hAnsi="宋体" w:cs="宋体"/>
                <w:color w:val="auto"/>
                <w:szCs w:val="21"/>
              </w:rPr>
              <w:t>采购预算</w:t>
            </w:r>
          </w:p>
        </w:tc>
        <w:tc>
          <w:tcPr>
            <w:tcW w:w="7127" w:type="dxa"/>
            <w:vAlign w:val="center"/>
          </w:tcPr>
          <w:p>
            <w:pPr>
              <w:pStyle w:val="24"/>
              <w:spacing w:line="360" w:lineRule="exact"/>
              <w:rPr>
                <w:rFonts w:ascii="宋体" w:hAnsi="宋体" w:cs="宋体"/>
                <w:color w:val="auto"/>
                <w:szCs w:val="21"/>
              </w:rPr>
            </w:pPr>
            <w:r>
              <w:rPr>
                <w:rFonts w:hint="eastAsia" w:ascii="宋体" w:hAnsi="宋体" w:cs="宋体"/>
                <w:b/>
                <w:color w:val="auto"/>
                <w:kern w:val="0"/>
                <w:szCs w:val="21"/>
              </w:rPr>
              <w:t>10万元/年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82" w:hRule="atLeast"/>
          <w:jc w:val="center"/>
        </w:trPr>
        <w:tc>
          <w:tcPr>
            <w:tcW w:w="670" w:type="dxa"/>
            <w:vAlign w:val="center"/>
          </w:tcPr>
          <w:p>
            <w:pPr>
              <w:pStyle w:val="24"/>
              <w:numPr>
                <w:ilvl w:val="0"/>
                <w:numId w:val="1"/>
              </w:numPr>
              <w:spacing w:line="360" w:lineRule="exact"/>
              <w:jc w:val="center"/>
              <w:rPr>
                <w:rFonts w:ascii="宋体" w:hAnsi="宋体" w:cs="宋体"/>
                <w:b/>
                <w:bCs/>
                <w:color w:val="auto"/>
                <w:szCs w:val="21"/>
              </w:rPr>
            </w:pPr>
          </w:p>
        </w:tc>
        <w:tc>
          <w:tcPr>
            <w:tcW w:w="2400" w:type="dxa"/>
            <w:vAlign w:val="center"/>
          </w:tcPr>
          <w:p>
            <w:pPr>
              <w:pStyle w:val="24"/>
              <w:spacing w:line="360" w:lineRule="exact"/>
              <w:jc w:val="left"/>
              <w:rPr>
                <w:rFonts w:ascii="宋体" w:hAnsi="宋体" w:cs="宋体"/>
                <w:b/>
                <w:bCs/>
                <w:color w:val="auto"/>
                <w:szCs w:val="21"/>
              </w:rPr>
            </w:pPr>
            <w:r>
              <w:rPr>
                <w:rFonts w:hint="eastAsia" w:ascii="宋体" w:hAnsi="宋体" w:cs="宋体"/>
                <w:b/>
                <w:bCs/>
                <w:color w:val="auto"/>
                <w:szCs w:val="21"/>
              </w:rPr>
              <w:t>最高限价</w:t>
            </w:r>
          </w:p>
        </w:tc>
        <w:tc>
          <w:tcPr>
            <w:tcW w:w="7127" w:type="dxa"/>
            <w:vAlign w:val="center"/>
          </w:tcPr>
          <w:p>
            <w:pPr>
              <w:pStyle w:val="50"/>
              <w:spacing w:after="0" w:line="360" w:lineRule="exact"/>
              <w:ind w:left="0" w:leftChars="0" w:firstLine="0" w:firstLineChars="0"/>
              <w:rPr>
                <w:rFonts w:ascii="宋体" w:hAnsi="宋体" w:cs="宋体"/>
                <w:b/>
                <w:bCs/>
                <w:color w:val="auto"/>
                <w:kern w:val="0"/>
                <w:szCs w:val="21"/>
              </w:rPr>
            </w:pPr>
            <w:r>
              <w:rPr>
                <w:rFonts w:hint="eastAsia" w:ascii="宋体" w:hAnsi="宋体" w:cs="宋体"/>
                <w:b/>
                <w:bCs/>
                <w:color w:val="auto"/>
                <w:kern w:val="0"/>
                <w:szCs w:val="21"/>
              </w:rPr>
              <w:t>10万元/年，各单位投标总报价不得高于最高限价，否则其投标文件按无效标处理。</w:t>
            </w:r>
          </w:p>
          <w:p>
            <w:pPr>
              <w:pStyle w:val="50"/>
              <w:spacing w:after="0" w:line="360" w:lineRule="exact"/>
              <w:ind w:left="0" w:leftChars="0" w:firstLine="0" w:firstLineChars="0"/>
              <w:rPr>
                <w:rFonts w:ascii="宋体" w:hAnsi="宋体" w:cs="宋体"/>
                <w:b/>
                <w:bCs/>
                <w:color w:val="auto"/>
                <w:kern w:val="0"/>
                <w:szCs w:val="21"/>
              </w:rPr>
            </w:pPr>
            <w:r>
              <w:rPr>
                <w:rFonts w:hint="eastAsia" w:ascii="宋体" w:hAnsi="宋体" w:cs="宋体"/>
                <w:b/>
                <w:bCs/>
                <w:color w:val="auto"/>
                <w:kern w:val="0"/>
                <w:szCs w:val="21"/>
              </w:rPr>
              <w:t>注：本项分为两部分报价，第一部分为协同办公平台报价，第二部分为政务云存储服务</w:t>
            </w:r>
            <w:r>
              <w:rPr>
                <w:rFonts w:hint="eastAsia" w:ascii="宋体" w:hAnsi="宋体" w:cs="宋体"/>
                <w:b/>
                <w:bCs/>
                <w:color w:val="auto"/>
                <w:szCs w:val="21"/>
              </w:rPr>
              <w:t>（该部分</w:t>
            </w:r>
            <w:r>
              <w:rPr>
                <w:rFonts w:hint="eastAsia"/>
                <w:b/>
                <w:color w:val="auto"/>
                <w:szCs w:val="21"/>
              </w:rPr>
              <w:t>不得超过滁州市政务云的单价</w:t>
            </w:r>
            <w:r>
              <w:rPr>
                <w:rFonts w:hint="eastAsia" w:ascii="宋体" w:hAnsi="宋体" w:cs="宋体"/>
                <w:b/>
                <w:bCs/>
                <w:color w:val="auto"/>
                <w:szCs w:val="21"/>
              </w:rPr>
              <w:t>）</w:t>
            </w:r>
            <w:r>
              <w:rPr>
                <w:rFonts w:hint="eastAsia" w:ascii="宋体" w:hAnsi="宋体" w:cs="宋体"/>
                <w:b/>
                <w:bCs/>
                <w:color w:val="auto"/>
                <w:kern w:val="0"/>
                <w:szCs w:val="21"/>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32" w:hRule="atLeast"/>
          <w:jc w:val="center"/>
        </w:trPr>
        <w:tc>
          <w:tcPr>
            <w:tcW w:w="670" w:type="dxa"/>
            <w:vAlign w:val="center"/>
          </w:tcPr>
          <w:p>
            <w:pPr>
              <w:pStyle w:val="24"/>
              <w:numPr>
                <w:ilvl w:val="0"/>
                <w:numId w:val="1"/>
              </w:numPr>
              <w:spacing w:line="360" w:lineRule="exact"/>
              <w:jc w:val="center"/>
              <w:rPr>
                <w:rFonts w:ascii="宋体" w:hAnsi="宋体" w:cs="宋体"/>
                <w:color w:val="auto"/>
                <w:szCs w:val="21"/>
              </w:rPr>
            </w:pPr>
          </w:p>
        </w:tc>
        <w:tc>
          <w:tcPr>
            <w:tcW w:w="2400" w:type="dxa"/>
            <w:vAlign w:val="center"/>
          </w:tcPr>
          <w:p>
            <w:pPr>
              <w:pStyle w:val="24"/>
              <w:spacing w:line="360" w:lineRule="exact"/>
              <w:jc w:val="left"/>
              <w:rPr>
                <w:rFonts w:ascii="宋体" w:hAnsi="宋体" w:cs="宋体"/>
                <w:color w:val="auto"/>
                <w:szCs w:val="21"/>
              </w:rPr>
            </w:pPr>
            <w:r>
              <w:rPr>
                <w:rFonts w:hint="eastAsia" w:ascii="宋体" w:hAnsi="宋体" w:cs="宋体"/>
                <w:color w:val="auto"/>
                <w:szCs w:val="21"/>
              </w:rPr>
              <w:t>采购内容</w:t>
            </w:r>
          </w:p>
        </w:tc>
        <w:tc>
          <w:tcPr>
            <w:tcW w:w="7127" w:type="dxa"/>
            <w:vAlign w:val="center"/>
          </w:tcPr>
          <w:p>
            <w:pPr>
              <w:pStyle w:val="24"/>
              <w:spacing w:line="360" w:lineRule="exact"/>
              <w:rPr>
                <w:rFonts w:ascii="宋体" w:hAnsi="宋体" w:cs="宋体"/>
                <w:color w:val="auto"/>
                <w:szCs w:val="21"/>
              </w:rPr>
            </w:pPr>
            <w:r>
              <w:rPr>
                <w:rFonts w:hint="eastAsia" w:ascii="宋体" w:hAnsi="宋体" w:cs="宋体"/>
                <w:color w:val="auto"/>
                <w:szCs w:val="21"/>
              </w:rPr>
              <w:t>本项目采购内容包括：详见《采购需求》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32" w:hRule="atLeast"/>
          <w:jc w:val="center"/>
        </w:trPr>
        <w:tc>
          <w:tcPr>
            <w:tcW w:w="670" w:type="dxa"/>
            <w:vAlign w:val="center"/>
          </w:tcPr>
          <w:p>
            <w:pPr>
              <w:pStyle w:val="24"/>
              <w:numPr>
                <w:ilvl w:val="0"/>
                <w:numId w:val="1"/>
              </w:numPr>
              <w:spacing w:line="360" w:lineRule="exact"/>
              <w:jc w:val="center"/>
              <w:rPr>
                <w:rFonts w:ascii="宋体" w:hAnsi="宋体" w:cs="宋体"/>
                <w:color w:val="auto"/>
                <w:szCs w:val="21"/>
              </w:rPr>
            </w:pPr>
          </w:p>
        </w:tc>
        <w:tc>
          <w:tcPr>
            <w:tcW w:w="2400" w:type="dxa"/>
            <w:vAlign w:val="center"/>
          </w:tcPr>
          <w:p>
            <w:pPr>
              <w:pStyle w:val="24"/>
              <w:spacing w:line="360" w:lineRule="exact"/>
              <w:jc w:val="left"/>
              <w:rPr>
                <w:rFonts w:ascii="宋体" w:hAnsi="宋体" w:cs="宋体"/>
                <w:color w:val="auto"/>
                <w:szCs w:val="21"/>
              </w:rPr>
            </w:pPr>
            <w:r>
              <w:rPr>
                <w:rFonts w:hint="eastAsia" w:ascii="宋体" w:hAnsi="宋体" w:cs="宋体"/>
                <w:color w:val="auto"/>
                <w:szCs w:val="21"/>
              </w:rPr>
              <w:t>标包划分</w:t>
            </w:r>
          </w:p>
        </w:tc>
        <w:tc>
          <w:tcPr>
            <w:tcW w:w="7127" w:type="dxa"/>
            <w:vAlign w:val="center"/>
          </w:tcPr>
          <w:p>
            <w:pPr>
              <w:pStyle w:val="24"/>
              <w:spacing w:line="360" w:lineRule="exact"/>
              <w:rPr>
                <w:rFonts w:ascii="宋体" w:hAnsi="宋体" w:cs="宋体"/>
                <w:color w:val="auto"/>
                <w:szCs w:val="21"/>
              </w:rPr>
            </w:pPr>
            <w:r>
              <w:rPr>
                <w:rFonts w:hint="eastAsia" w:ascii="宋体" w:hAnsi="宋体" w:cs="宋体"/>
                <w:color w:val="auto"/>
                <w:szCs w:val="21"/>
              </w:rPr>
              <w:t>本项目划分为</w:t>
            </w:r>
            <w:r>
              <w:rPr>
                <w:rFonts w:hint="eastAsia" w:ascii="宋体" w:hAnsi="宋体" w:cs="宋体"/>
                <w:color w:val="auto"/>
                <w:szCs w:val="21"/>
                <w:u w:val="single"/>
              </w:rPr>
              <w:t>壹</w:t>
            </w:r>
            <w:r>
              <w:rPr>
                <w:rFonts w:hint="eastAsia" w:ascii="宋体" w:hAnsi="宋体" w:cs="宋体"/>
                <w:color w:val="auto"/>
                <w:szCs w:val="21"/>
              </w:rPr>
              <w:t>个标包</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0" w:hRule="atLeast"/>
          <w:jc w:val="center"/>
        </w:trPr>
        <w:tc>
          <w:tcPr>
            <w:tcW w:w="670" w:type="dxa"/>
            <w:vAlign w:val="center"/>
          </w:tcPr>
          <w:p>
            <w:pPr>
              <w:pStyle w:val="24"/>
              <w:numPr>
                <w:ilvl w:val="0"/>
                <w:numId w:val="1"/>
              </w:numPr>
              <w:spacing w:line="360" w:lineRule="exact"/>
              <w:jc w:val="center"/>
              <w:rPr>
                <w:rFonts w:ascii="宋体" w:hAnsi="宋体" w:cs="宋体"/>
                <w:color w:val="auto"/>
                <w:szCs w:val="21"/>
              </w:rPr>
            </w:pPr>
          </w:p>
        </w:tc>
        <w:tc>
          <w:tcPr>
            <w:tcW w:w="2400" w:type="dxa"/>
            <w:vAlign w:val="center"/>
          </w:tcPr>
          <w:p>
            <w:pPr>
              <w:pStyle w:val="24"/>
              <w:spacing w:line="360" w:lineRule="exact"/>
              <w:jc w:val="left"/>
              <w:rPr>
                <w:rFonts w:ascii="宋体" w:hAnsi="宋体" w:cs="宋体"/>
                <w:color w:val="auto"/>
                <w:szCs w:val="21"/>
              </w:rPr>
            </w:pPr>
            <w:r>
              <w:rPr>
                <w:rFonts w:hint="eastAsia" w:ascii="宋体" w:hAnsi="宋体" w:cs="宋体"/>
                <w:color w:val="auto"/>
                <w:szCs w:val="21"/>
              </w:rPr>
              <w:t>招标方式</w:t>
            </w:r>
          </w:p>
        </w:tc>
        <w:tc>
          <w:tcPr>
            <w:tcW w:w="7127" w:type="dxa"/>
            <w:vAlign w:val="center"/>
          </w:tcPr>
          <w:p>
            <w:pPr>
              <w:pStyle w:val="24"/>
              <w:spacing w:line="360" w:lineRule="exact"/>
              <w:rPr>
                <w:rFonts w:ascii="宋体" w:hAnsi="宋体" w:cs="宋体"/>
                <w:color w:val="auto"/>
                <w:szCs w:val="21"/>
              </w:rPr>
            </w:pPr>
            <w:r>
              <w:rPr>
                <w:rFonts w:hint="eastAsia" w:ascii="宋体" w:hAnsi="宋体" w:cs="宋体"/>
                <w:color w:val="auto"/>
                <w:szCs w:val="21"/>
              </w:rPr>
              <w:t>公开招标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5" w:hRule="atLeast"/>
          <w:jc w:val="center"/>
        </w:trPr>
        <w:tc>
          <w:tcPr>
            <w:tcW w:w="670" w:type="dxa"/>
            <w:vAlign w:val="center"/>
          </w:tcPr>
          <w:p>
            <w:pPr>
              <w:pStyle w:val="24"/>
              <w:numPr>
                <w:ilvl w:val="0"/>
                <w:numId w:val="1"/>
              </w:numPr>
              <w:spacing w:line="360" w:lineRule="exact"/>
              <w:jc w:val="center"/>
              <w:rPr>
                <w:rFonts w:ascii="宋体" w:hAnsi="宋体" w:cs="宋体"/>
                <w:color w:val="auto"/>
                <w:szCs w:val="21"/>
              </w:rPr>
            </w:pPr>
          </w:p>
        </w:tc>
        <w:tc>
          <w:tcPr>
            <w:tcW w:w="2400" w:type="dxa"/>
            <w:vAlign w:val="center"/>
          </w:tcPr>
          <w:p>
            <w:pPr>
              <w:pStyle w:val="24"/>
              <w:spacing w:line="360" w:lineRule="exact"/>
              <w:jc w:val="left"/>
              <w:rPr>
                <w:rFonts w:ascii="宋体" w:hAnsi="宋体" w:cs="宋体"/>
                <w:color w:val="auto"/>
                <w:szCs w:val="21"/>
              </w:rPr>
            </w:pPr>
            <w:r>
              <w:rPr>
                <w:rFonts w:hint="eastAsia" w:ascii="宋体" w:hAnsi="宋体" w:cs="宋体"/>
                <w:color w:val="auto"/>
                <w:szCs w:val="21"/>
              </w:rPr>
              <w:t>投标人资格条件及其他要求</w:t>
            </w:r>
          </w:p>
        </w:tc>
        <w:tc>
          <w:tcPr>
            <w:tcW w:w="7127" w:type="dxa"/>
            <w:vAlign w:val="center"/>
          </w:tcPr>
          <w:p>
            <w:pPr>
              <w:spacing w:line="360" w:lineRule="exact"/>
              <w:jc w:val="left"/>
              <w:rPr>
                <w:rFonts w:ascii="宋体" w:hAnsi="宋体" w:cs="宋体"/>
                <w:color w:val="auto"/>
                <w:szCs w:val="21"/>
              </w:rPr>
            </w:pPr>
            <w:r>
              <w:rPr>
                <w:rFonts w:hint="eastAsia" w:ascii="宋体" w:hAnsi="宋体" w:cs="宋体"/>
                <w:bCs/>
                <w:color w:val="auto"/>
                <w:szCs w:val="21"/>
                <w:lang w:bidi="ar"/>
              </w:rPr>
              <w:t>详见招标公告</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670" w:type="dxa"/>
            <w:vAlign w:val="center"/>
          </w:tcPr>
          <w:p>
            <w:pPr>
              <w:pStyle w:val="24"/>
              <w:numPr>
                <w:ilvl w:val="0"/>
                <w:numId w:val="1"/>
              </w:numPr>
              <w:spacing w:line="360" w:lineRule="exact"/>
              <w:jc w:val="center"/>
              <w:rPr>
                <w:rFonts w:ascii="宋体" w:hAnsi="宋体" w:cs="宋体"/>
                <w:color w:val="auto"/>
                <w:szCs w:val="21"/>
              </w:rPr>
            </w:pPr>
          </w:p>
        </w:tc>
        <w:tc>
          <w:tcPr>
            <w:tcW w:w="2400" w:type="dxa"/>
            <w:vAlign w:val="center"/>
          </w:tcPr>
          <w:p>
            <w:pPr>
              <w:pStyle w:val="24"/>
              <w:spacing w:line="360" w:lineRule="exact"/>
              <w:jc w:val="left"/>
              <w:rPr>
                <w:rFonts w:ascii="宋体" w:hAnsi="宋体" w:cs="宋体"/>
                <w:color w:val="auto"/>
                <w:szCs w:val="21"/>
              </w:rPr>
            </w:pPr>
            <w:r>
              <w:rPr>
                <w:rFonts w:hint="eastAsia" w:ascii="宋体" w:hAnsi="宋体" w:cs="宋体"/>
                <w:color w:val="auto"/>
                <w:szCs w:val="21"/>
              </w:rPr>
              <w:t>踏勘现场</w:t>
            </w:r>
          </w:p>
        </w:tc>
        <w:tc>
          <w:tcPr>
            <w:tcW w:w="7127" w:type="dxa"/>
            <w:vAlign w:val="center"/>
          </w:tcPr>
          <w:p>
            <w:pPr>
              <w:pStyle w:val="24"/>
              <w:spacing w:line="360" w:lineRule="exact"/>
              <w:rPr>
                <w:rFonts w:ascii="宋体" w:hAnsi="宋体" w:cs="宋体"/>
                <w:color w:val="auto"/>
                <w:szCs w:val="21"/>
              </w:rPr>
            </w:pPr>
            <w:r>
              <w:rPr>
                <w:rFonts w:hint="eastAsia" w:ascii="宋体" w:hAnsi="宋体" w:cs="宋体"/>
                <w:color w:val="auto"/>
                <w:szCs w:val="21"/>
              </w:rPr>
              <w:t>不组织,投标人自行踏勘现场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670" w:type="dxa"/>
            <w:vAlign w:val="center"/>
          </w:tcPr>
          <w:p>
            <w:pPr>
              <w:pStyle w:val="24"/>
              <w:numPr>
                <w:ilvl w:val="0"/>
                <w:numId w:val="1"/>
              </w:numPr>
              <w:spacing w:line="360" w:lineRule="exact"/>
              <w:jc w:val="center"/>
              <w:rPr>
                <w:rFonts w:ascii="宋体" w:hAnsi="宋体" w:cs="宋体"/>
                <w:color w:val="auto"/>
                <w:szCs w:val="21"/>
              </w:rPr>
            </w:pPr>
          </w:p>
        </w:tc>
        <w:tc>
          <w:tcPr>
            <w:tcW w:w="2400" w:type="dxa"/>
            <w:vAlign w:val="center"/>
          </w:tcPr>
          <w:p>
            <w:pPr>
              <w:pStyle w:val="24"/>
              <w:spacing w:line="360" w:lineRule="exact"/>
              <w:jc w:val="left"/>
              <w:rPr>
                <w:rFonts w:ascii="宋体" w:hAnsi="宋体" w:cs="宋体"/>
                <w:color w:val="auto"/>
                <w:szCs w:val="21"/>
              </w:rPr>
            </w:pPr>
            <w:r>
              <w:rPr>
                <w:rFonts w:hint="eastAsia" w:ascii="宋体" w:hAnsi="宋体" w:cs="宋体"/>
                <w:color w:val="auto"/>
                <w:szCs w:val="21"/>
              </w:rPr>
              <w:t>投标预备会</w:t>
            </w:r>
          </w:p>
        </w:tc>
        <w:tc>
          <w:tcPr>
            <w:tcW w:w="7127" w:type="dxa"/>
            <w:vAlign w:val="center"/>
          </w:tcPr>
          <w:p>
            <w:pPr>
              <w:pStyle w:val="24"/>
              <w:spacing w:line="360" w:lineRule="exact"/>
              <w:rPr>
                <w:rFonts w:ascii="宋体" w:hAnsi="宋体" w:cs="宋体"/>
                <w:color w:val="auto"/>
                <w:szCs w:val="21"/>
              </w:rPr>
            </w:pPr>
            <w:r>
              <w:rPr>
                <w:rFonts w:hint="eastAsia" w:ascii="宋体" w:hAnsi="宋体" w:cs="宋体"/>
                <w:color w:val="auto"/>
                <w:szCs w:val="21"/>
              </w:rPr>
              <w:t>不召开</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670" w:type="dxa"/>
            <w:vAlign w:val="center"/>
          </w:tcPr>
          <w:p>
            <w:pPr>
              <w:pStyle w:val="24"/>
              <w:numPr>
                <w:ilvl w:val="0"/>
                <w:numId w:val="1"/>
              </w:numPr>
              <w:spacing w:line="360" w:lineRule="exact"/>
              <w:jc w:val="center"/>
              <w:rPr>
                <w:rFonts w:ascii="宋体" w:hAnsi="宋体" w:cs="宋体"/>
                <w:color w:val="auto"/>
                <w:szCs w:val="21"/>
              </w:rPr>
            </w:pPr>
          </w:p>
        </w:tc>
        <w:tc>
          <w:tcPr>
            <w:tcW w:w="2400" w:type="dxa"/>
            <w:vAlign w:val="center"/>
          </w:tcPr>
          <w:p>
            <w:pPr>
              <w:pStyle w:val="24"/>
              <w:spacing w:line="360" w:lineRule="exact"/>
              <w:jc w:val="left"/>
              <w:rPr>
                <w:rFonts w:ascii="宋体" w:hAnsi="宋体" w:cs="宋体"/>
                <w:color w:val="auto"/>
                <w:szCs w:val="21"/>
              </w:rPr>
            </w:pPr>
            <w:r>
              <w:rPr>
                <w:rFonts w:hint="eastAsia" w:ascii="宋体" w:hAnsi="宋体" w:cs="宋体"/>
                <w:color w:val="auto"/>
                <w:szCs w:val="21"/>
              </w:rPr>
              <w:t>投标人提出</w:t>
            </w:r>
            <w:r>
              <w:rPr>
                <w:rFonts w:hint="eastAsia" w:ascii="宋体" w:hAnsi="宋体" w:cs="宋体"/>
                <w:color w:val="auto"/>
                <w:szCs w:val="21"/>
                <w:u w:val="single"/>
              </w:rPr>
              <w:t>质疑</w:t>
            </w:r>
            <w:r>
              <w:rPr>
                <w:rFonts w:hint="eastAsia" w:ascii="宋体" w:hAnsi="宋体" w:cs="宋体"/>
                <w:color w:val="auto"/>
                <w:szCs w:val="21"/>
              </w:rPr>
              <w:t>的截止时间及方式</w:t>
            </w:r>
          </w:p>
        </w:tc>
        <w:tc>
          <w:tcPr>
            <w:tcW w:w="7127" w:type="dxa"/>
            <w:vAlign w:val="center"/>
          </w:tcPr>
          <w:p>
            <w:pPr>
              <w:spacing w:line="360" w:lineRule="exact"/>
              <w:jc w:val="left"/>
              <w:rPr>
                <w:rFonts w:ascii="宋体" w:hAnsi="宋体" w:cs="宋体"/>
                <w:color w:val="auto"/>
                <w:szCs w:val="21"/>
              </w:rPr>
            </w:pPr>
            <w:r>
              <w:rPr>
                <w:rFonts w:hint="eastAsia" w:ascii="宋体" w:hAnsi="宋体" w:cs="宋体"/>
                <w:color w:val="auto"/>
                <w:szCs w:val="21"/>
              </w:rPr>
              <w:t>如投标人对招标文件有疑问，请于 2024年</w:t>
            </w:r>
            <w:r>
              <w:rPr>
                <w:rFonts w:hint="eastAsia" w:ascii="宋体" w:hAnsi="宋体" w:cs="宋体"/>
                <w:color w:val="auto"/>
                <w:szCs w:val="21"/>
                <w:lang w:val="en-US" w:eastAsia="zh-CN"/>
              </w:rPr>
              <w:t>3</w:t>
            </w:r>
            <w:r>
              <w:rPr>
                <w:rFonts w:hint="eastAsia" w:ascii="宋体" w:hAnsi="宋体" w:cs="宋体"/>
                <w:color w:val="auto"/>
                <w:szCs w:val="21"/>
              </w:rPr>
              <w:t>月</w:t>
            </w:r>
            <w:r>
              <w:rPr>
                <w:rFonts w:hint="eastAsia" w:ascii="宋体" w:hAnsi="宋体" w:cs="宋体"/>
                <w:color w:val="auto"/>
                <w:szCs w:val="21"/>
                <w:lang w:val="en-US" w:eastAsia="zh-CN"/>
              </w:rPr>
              <w:t>13</w:t>
            </w:r>
            <w:r>
              <w:rPr>
                <w:rFonts w:hint="eastAsia" w:ascii="宋体" w:hAnsi="宋体" w:cs="宋体"/>
                <w:color w:val="auto"/>
                <w:szCs w:val="21"/>
              </w:rPr>
              <w:t>日17时前以邮件的形式发送到招标代理公司邮箱：290407638@qq.com</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670" w:type="dxa"/>
            <w:vAlign w:val="center"/>
          </w:tcPr>
          <w:p>
            <w:pPr>
              <w:pStyle w:val="24"/>
              <w:numPr>
                <w:ilvl w:val="0"/>
                <w:numId w:val="1"/>
              </w:numPr>
              <w:spacing w:line="360" w:lineRule="exact"/>
              <w:jc w:val="center"/>
              <w:rPr>
                <w:rFonts w:ascii="宋体" w:hAnsi="宋体" w:cs="宋体"/>
                <w:color w:val="auto"/>
                <w:szCs w:val="21"/>
              </w:rPr>
            </w:pPr>
          </w:p>
        </w:tc>
        <w:tc>
          <w:tcPr>
            <w:tcW w:w="2400" w:type="dxa"/>
            <w:vAlign w:val="center"/>
          </w:tcPr>
          <w:p>
            <w:pPr>
              <w:pStyle w:val="24"/>
              <w:spacing w:line="360" w:lineRule="exact"/>
              <w:jc w:val="left"/>
              <w:rPr>
                <w:rFonts w:ascii="宋体" w:hAnsi="宋体" w:cs="宋体"/>
                <w:color w:val="auto"/>
                <w:szCs w:val="21"/>
              </w:rPr>
            </w:pPr>
            <w:r>
              <w:rPr>
                <w:rFonts w:hint="eastAsia" w:ascii="宋体" w:hAnsi="宋体" w:cs="宋体"/>
                <w:color w:val="auto"/>
                <w:szCs w:val="21"/>
              </w:rPr>
              <w:t>采购人澄清的时间及方式</w:t>
            </w:r>
          </w:p>
        </w:tc>
        <w:tc>
          <w:tcPr>
            <w:tcW w:w="7127" w:type="dxa"/>
            <w:vAlign w:val="center"/>
          </w:tcPr>
          <w:p>
            <w:pPr>
              <w:spacing w:line="360" w:lineRule="exact"/>
              <w:rPr>
                <w:rFonts w:ascii="宋体" w:hAnsi="宋体" w:cs="宋体"/>
                <w:color w:val="auto"/>
                <w:szCs w:val="21"/>
              </w:rPr>
            </w:pPr>
            <w:r>
              <w:rPr>
                <w:rFonts w:hint="eastAsia" w:ascii="宋体" w:hAnsi="宋体" w:cs="宋体"/>
                <w:bCs/>
                <w:color w:val="auto"/>
                <w:szCs w:val="21"/>
              </w:rPr>
              <w:t>2024年</w:t>
            </w:r>
            <w:r>
              <w:rPr>
                <w:rFonts w:hint="eastAsia" w:ascii="宋体" w:hAnsi="宋体" w:cs="宋体"/>
                <w:bCs/>
                <w:color w:val="auto"/>
                <w:szCs w:val="21"/>
                <w:lang w:val="en-US" w:eastAsia="zh-CN"/>
              </w:rPr>
              <w:t>3</w:t>
            </w:r>
            <w:r>
              <w:rPr>
                <w:rFonts w:hint="eastAsia" w:ascii="宋体" w:hAnsi="宋体" w:cs="宋体"/>
                <w:bCs/>
                <w:color w:val="auto"/>
                <w:szCs w:val="21"/>
              </w:rPr>
              <w:t>月</w:t>
            </w:r>
            <w:r>
              <w:rPr>
                <w:rFonts w:hint="eastAsia" w:ascii="宋体" w:hAnsi="宋体" w:cs="宋体"/>
                <w:bCs/>
                <w:color w:val="auto"/>
                <w:szCs w:val="21"/>
                <w:lang w:val="en-US" w:eastAsia="zh-CN"/>
              </w:rPr>
              <w:t>14</w:t>
            </w:r>
            <w:r>
              <w:rPr>
                <w:rFonts w:hint="eastAsia" w:ascii="宋体" w:hAnsi="宋体" w:cs="宋体"/>
                <w:bCs/>
                <w:color w:val="auto"/>
                <w:szCs w:val="21"/>
              </w:rPr>
              <w:t>日17时</w:t>
            </w:r>
            <w:r>
              <w:rPr>
                <w:rFonts w:hint="eastAsia" w:ascii="宋体" w:hAnsi="宋体" w:cs="宋体"/>
                <w:color w:val="auto"/>
                <w:szCs w:val="21"/>
              </w:rPr>
              <w:t>前，以澄清公告形式在滁州市第二人民医院官网予以公告</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45" w:hRule="atLeast"/>
          <w:jc w:val="center"/>
        </w:trPr>
        <w:tc>
          <w:tcPr>
            <w:tcW w:w="670" w:type="dxa"/>
            <w:vAlign w:val="center"/>
          </w:tcPr>
          <w:p>
            <w:pPr>
              <w:pStyle w:val="24"/>
              <w:numPr>
                <w:ilvl w:val="0"/>
                <w:numId w:val="1"/>
              </w:numPr>
              <w:spacing w:line="360" w:lineRule="exact"/>
              <w:jc w:val="center"/>
              <w:rPr>
                <w:rFonts w:ascii="宋体" w:hAnsi="宋体" w:cs="宋体"/>
                <w:color w:val="auto"/>
                <w:szCs w:val="21"/>
              </w:rPr>
            </w:pPr>
          </w:p>
        </w:tc>
        <w:tc>
          <w:tcPr>
            <w:tcW w:w="2400" w:type="dxa"/>
            <w:vAlign w:val="center"/>
          </w:tcPr>
          <w:p>
            <w:pPr>
              <w:pStyle w:val="24"/>
              <w:spacing w:line="360" w:lineRule="exact"/>
              <w:jc w:val="left"/>
              <w:rPr>
                <w:rFonts w:ascii="宋体" w:hAnsi="宋体" w:cs="宋体"/>
                <w:color w:val="auto"/>
                <w:szCs w:val="21"/>
              </w:rPr>
            </w:pPr>
            <w:r>
              <w:rPr>
                <w:rFonts w:hint="eastAsia" w:ascii="宋体" w:hAnsi="宋体" w:cs="宋体"/>
                <w:color w:val="auto"/>
                <w:szCs w:val="21"/>
              </w:rPr>
              <w:t>联合体投标</w:t>
            </w:r>
          </w:p>
        </w:tc>
        <w:tc>
          <w:tcPr>
            <w:tcW w:w="7127" w:type="dxa"/>
            <w:vAlign w:val="center"/>
          </w:tcPr>
          <w:p>
            <w:pPr>
              <w:pStyle w:val="24"/>
              <w:spacing w:line="360" w:lineRule="exact"/>
              <w:rPr>
                <w:rFonts w:ascii="宋体" w:hAnsi="宋体" w:cs="宋体"/>
                <w:color w:val="auto"/>
                <w:szCs w:val="21"/>
              </w:rPr>
            </w:pPr>
            <w:r>
              <w:rPr>
                <w:rFonts w:hint="eastAsia" w:ascii="宋体" w:hAnsi="宋体" w:cs="宋体"/>
                <w:color w:val="auto"/>
                <w:szCs w:val="21"/>
              </w:rPr>
              <w:t>本次招标☑</w:t>
            </w:r>
            <w:r>
              <w:rPr>
                <w:rFonts w:hint="eastAsia" w:ascii="宋体" w:hAnsi="宋体" w:cs="宋体"/>
                <w:color w:val="auto"/>
                <w:szCs w:val="21"/>
                <w:u w:val="single"/>
              </w:rPr>
              <w:t>不接受</w:t>
            </w:r>
            <w:r>
              <w:rPr>
                <w:rFonts w:hint="eastAsia" w:ascii="宋体" w:hAnsi="宋体" w:cs="宋体"/>
                <w:color w:val="auto"/>
                <w:szCs w:val="21"/>
              </w:rPr>
              <w:t>联合体投标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58" w:hRule="atLeast"/>
          <w:jc w:val="center"/>
        </w:trPr>
        <w:tc>
          <w:tcPr>
            <w:tcW w:w="670" w:type="dxa"/>
            <w:vAlign w:val="center"/>
          </w:tcPr>
          <w:p>
            <w:pPr>
              <w:numPr>
                <w:ilvl w:val="0"/>
                <w:numId w:val="1"/>
              </w:numPr>
              <w:spacing w:line="360" w:lineRule="exact"/>
              <w:jc w:val="center"/>
              <w:rPr>
                <w:rFonts w:ascii="宋体" w:hAnsi="宋体" w:cs="宋体"/>
                <w:color w:val="auto"/>
                <w:szCs w:val="21"/>
              </w:rPr>
            </w:pPr>
          </w:p>
        </w:tc>
        <w:tc>
          <w:tcPr>
            <w:tcW w:w="2400" w:type="dxa"/>
            <w:vAlign w:val="center"/>
          </w:tcPr>
          <w:p>
            <w:pPr>
              <w:spacing w:line="360" w:lineRule="exact"/>
              <w:jc w:val="left"/>
              <w:rPr>
                <w:rFonts w:ascii="宋体" w:hAnsi="宋体" w:cs="宋体"/>
                <w:color w:val="auto"/>
                <w:szCs w:val="21"/>
              </w:rPr>
            </w:pPr>
            <w:r>
              <w:rPr>
                <w:rFonts w:hint="eastAsia" w:ascii="宋体" w:hAnsi="宋体" w:cs="宋体"/>
                <w:color w:val="auto"/>
                <w:szCs w:val="21"/>
              </w:rPr>
              <w:t>招标代理费</w:t>
            </w:r>
          </w:p>
        </w:tc>
        <w:tc>
          <w:tcPr>
            <w:tcW w:w="7127" w:type="dxa"/>
            <w:vAlign w:val="center"/>
          </w:tcPr>
          <w:p>
            <w:pPr>
              <w:spacing w:line="360" w:lineRule="exact"/>
              <w:jc w:val="left"/>
              <w:rPr>
                <w:rFonts w:ascii="宋体" w:hAnsi="宋体" w:cs="宋体"/>
                <w:color w:val="auto"/>
                <w:kern w:val="0"/>
                <w:szCs w:val="21"/>
              </w:rPr>
            </w:pPr>
            <w:r>
              <w:rPr>
                <w:rFonts w:hint="eastAsia" w:ascii="宋体" w:hAnsi="宋体" w:cs="宋体"/>
                <w:color w:val="auto"/>
                <w:szCs w:val="21"/>
              </w:rPr>
              <w:t>代理服务费：2000元（专家评审费另计，以实际支付为准）。</w:t>
            </w:r>
          </w:p>
          <w:p>
            <w:pPr>
              <w:spacing w:line="360" w:lineRule="exact"/>
              <w:rPr>
                <w:rFonts w:ascii="宋体" w:hAnsi="宋体" w:cs="宋体"/>
                <w:color w:val="auto"/>
                <w:szCs w:val="21"/>
              </w:rPr>
            </w:pPr>
            <w:r>
              <w:rPr>
                <w:rFonts w:hint="eastAsia" w:ascii="宋体" w:hAnsi="宋体" w:cs="宋体"/>
                <w:color w:val="auto"/>
                <w:szCs w:val="21"/>
              </w:rPr>
              <w:t>代理服务费及专家评审费支付主体：中标人，由中标人在领取中标通知书时，一次性支付给代理公司。</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670" w:type="dxa"/>
            <w:vAlign w:val="center"/>
          </w:tcPr>
          <w:p>
            <w:pPr>
              <w:numPr>
                <w:ilvl w:val="0"/>
                <w:numId w:val="1"/>
              </w:numPr>
              <w:spacing w:line="360" w:lineRule="exact"/>
              <w:jc w:val="center"/>
              <w:rPr>
                <w:rFonts w:ascii="宋体" w:hAnsi="宋体" w:cs="宋体"/>
                <w:color w:val="auto"/>
                <w:szCs w:val="21"/>
              </w:rPr>
            </w:pPr>
          </w:p>
        </w:tc>
        <w:tc>
          <w:tcPr>
            <w:tcW w:w="2400" w:type="dxa"/>
            <w:vAlign w:val="center"/>
          </w:tcPr>
          <w:p>
            <w:pPr>
              <w:spacing w:line="360" w:lineRule="exact"/>
              <w:ind w:right="-27" w:rightChars="-13"/>
              <w:jc w:val="left"/>
              <w:rPr>
                <w:rFonts w:ascii="宋体" w:hAnsi="宋体" w:cs="宋体"/>
                <w:color w:val="auto"/>
                <w:szCs w:val="21"/>
              </w:rPr>
            </w:pPr>
            <w:r>
              <w:rPr>
                <w:rFonts w:hint="eastAsia" w:ascii="宋体" w:hAnsi="宋体" w:cs="宋体"/>
                <w:color w:val="auto"/>
                <w:szCs w:val="21"/>
              </w:rPr>
              <w:t>投标人要求澄清招标文件的截止时间及方式</w:t>
            </w:r>
          </w:p>
        </w:tc>
        <w:tc>
          <w:tcPr>
            <w:tcW w:w="7127" w:type="dxa"/>
            <w:vAlign w:val="center"/>
          </w:tcPr>
          <w:p>
            <w:pPr>
              <w:spacing w:line="360" w:lineRule="exact"/>
              <w:rPr>
                <w:rFonts w:ascii="宋体" w:hAnsi="宋体" w:cs="宋体"/>
                <w:color w:val="auto"/>
                <w:szCs w:val="21"/>
              </w:rPr>
            </w:pPr>
            <w:r>
              <w:rPr>
                <w:rFonts w:hint="eastAsia" w:ascii="宋体" w:hAnsi="宋体" w:cs="宋体"/>
                <w:color w:val="auto"/>
                <w:szCs w:val="21"/>
              </w:rPr>
              <w:t>同表10.2款</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670" w:type="dxa"/>
            <w:vAlign w:val="center"/>
          </w:tcPr>
          <w:p>
            <w:pPr>
              <w:pStyle w:val="24"/>
              <w:numPr>
                <w:ilvl w:val="0"/>
                <w:numId w:val="1"/>
              </w:numPr>
              <w:spacing w:line="360" w:lineRule="exact"/>
              <w:jc w:val="center"/>
              <w:rPr>
                <w:rFonts w:ascii="宋体" w:hAnsi="宋体" w:cs="宋体"/>
                <w:color w:val="auto"/>
                <w:szCs w:val="21"/>
              </w:rPr>
            </w:pPr>
          </w:p>
        </w:tc>
        <w:tc>
          <w:tcPr>
            <w:tcW w:w="2400" w:type="dxa"/>
            <w:vAlign w:val="center"/>
          </w:tcPr>
          <w:p>
            <w:pPr>
              <w:pStyle w:val="24"/>
              <w:spacing w:line="360" w:lineRule="exact"/>
              <w:jc w:val="left"/>
              <w:rPr>
                <w:rFonts w:ascii="宋体" w:hAnsi="宋体" w:cs="宋体"/>
                <w:color w:val="auto"/>
                <w:szCs w:val="21"/>
              </w:rPr>
            </w:pPr>
            <w:r>
              <w:rPr>
                <w:rFonts w:hint="eastAsia" w:ascii="宋体" w:hAnsi="宋体" w:cs="宋体"/>
                <w:color w:val="auto"/>
                <w:szCs w:val="21"/>
              </w:rPr>
              <w:t>投标有效期</w:t>
            </w:r>
          </w:p>
        </w:tc>
        <w:tc>
          <w:tcPr>
            <w:tcW w:w="7127" w:type="dxa"/>
            <w:vAlign w:val="center"/>
          </w:tcPr>
          <w:p>
            <w:pPr>
              <w:pStyle w:val="24"/>
              <w:spacing w:line="360" w:lineRule="exact"/>
              <w:rPr>
                <w:rFonts w:ascii="宋体" w:hAnsi="宋体" w:cs="宋体"/>
                <w:color w:val="auto"/>
                <w:szCs w:val="21"/>
              </w:rPr>
            </w:pPr>
            <w:r>
              <w:rPr>
                <w:rFonts w:hint="eastAsia" w:ascii="宋体" w:hAnsi="宋体" w:cs="宋体"/>
                <w:color w:val="auto"/>
                <w:szCs w:val="21"/>
              </w:rPr>
              <w:t>投标有效期为</w:t>
            </w:r>
            <w:r>
              <w:rPr>
                <w:rFonts w:hint="eastAsia" w:ascii="宋体" w:hAnsi="宋体" w:cs="宋体"/>
                <w:color w:val="auto"/>
                <w:szCs w:val="21"/>
                <w:u w:val="single"/>
              </w:rPr>
              <w:t xml:space="preserve">30 </w:t>
            </w:r>
            <w:r>
              <w:rPr>
                <w:rFonts w:hint="eastAsia" w:ascii="宋体" w:hAnsi="宋体" w:cs="宋体"/>
                <w:color w:val="auto"/>
                <w:szCs w:val="21"/>
              </w:rPr>
              <w:t>日历天（从投标截止之日算起）。在此期限内，凡符合本招标文件要求的投标文件均保持有效。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670" w:type="dxa"/>
            <w:vAlign w:val="center"/>
          </w:tcPr>
          <w:p>
            <w:pPr>
              <w:numPr>
                <w:ilvl w:val="0"/>
                <w:numId w:val="1"/>
              </w:numPr>
              <w:spacing w:line="360" w:lineRule="exact"/>
              <w:jc w:val="center"/>
              <w:rPr>
                <w:rFonts w:ascii="宋体" w:hAnsi="宋体" w:cs="宋体"/>
                <w:color w:val="auto"/>
                <w:szCs w:val="21"/>
              </w:rPr>
            </w:pPr>
          </w:p>
        </w:tc>
        <w:tc>
          <w:tcPr>
            <w:tcW w:w="2400" w:type="dxa"/>
            <w:vAlign w:val="center"/>
          </w:tcPr>
          <w:p>
            <w:pPr>
              <w:spacing w:line="360" w:lineRule="exact"/>
              <w:jc w:val="left"/>
              <w:rPr>
                <w:rFonts w:ascii="宋体" w:hAnsi="宋体" w:cs="宋体"/>
                <w:color w:val="auto"/>
                <w:szCs w:val="21"/>
              </w:rPr>
            </w:pPr>
            <w:r>
              <w:rPr>
                <w:rFonts w:hint="eastAsia" w:ascii="宋体" w:hAnsi="宋体" w:cs="宋体"/>
                <w:color w:val="auto"/>
                <w:szCs w:val="21"/>
              </w:rPr>
              <w:t>投标保证金</w:t>
            </w:r>
          </w:p>
        </w:tc>
        <w:tc>
          <w:tcPr>
            <w:tcW w:w="7127" w:type="dxa"/>
          </w:tcPr>
          <w:p>
            <w:pPr>
              <w:widowControl/>
              <w:spacing w:line="360" w:lineRule="exact"/>
              <w:jc w:val="left"/>
              <w:rPr>
                <w:rFonts w:ascii="宋体" w:hAnsi="宋体" w:cs="宋体"/>
                <w:b/>
                <w:color w:val="auto"/>
                <w:kern w:val="0"/>
                <w:szCs w:val="21"/>
              </w:rPr>
            </w:pPr>
            <w:r>
              <w:rPr>
                <w:rFonts w:hint="eastAsia" w:ascii="宋体" w:hAnsi="宋体" w:cs="宋体"/>
                <w:b/>
                <w:color w:val="auto"/>
                <w:kern w:val="0"/>
                <w:szCs w:val="21"/>
              </w:rPr>
              <w:t>不采用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45" w:hRule="atLeast"/>
          <w:jc w:val="center"/>
        </w:trPr>
        <w:tc>
          <w:tcPr>
            <w:tcW w:w="670" w:type="dxa"/>
            <w:vAlign w:val="center"/>
          </w:tcPr>
          <w:p>
            <w:pPr>
              <w:pStyle w:val="24"/>
              <w:numPr>
                <w:ilvl w:val="0"/>
                <w:numId w:val="1"/>
              </w:numPr>
              <w:spacing w:line="360" w:lineRule="exact"/>
              <w:jc w:val="center"/>
              <w:rPr>
                <w:rFonts w:ascii="宋体" w:hAnsi="宋体" w:cs="宋体"/>
                <w:b/>
                <w:bCs/>
                <w:color w:val="auto"/>
                <w:szCs w:val="21"/>
              </w:rPr>
            </w:pPr>
          </w:p>
        </w:tc>
        <w:tc>
          <w:tcPr>
            <w:tcW w:w="2400" w:type="dxa"/>
            <w:vAlign w:val="center"/>
          </w:tcPr>
          <w:p>
            <w:pPr>
              <w:pStyle w:val="24"/>
              <w:spacing w:line="360" w:lineRule="exact"/>
              <w:jc w:val="left"/>
              <w:rPr>
                <w:rFonts w:ascii="宋体" w:hAnsi="宋体" w:cs="宋体"/>
                <w:b/>
                <w:bCs/>
                <w:color w:val="auto"/>
                <w:szCs w:val="21"/>
              </w:rPr>
            </w:pPr>
            <w:r>
              <w:rPr>
                <w:rFonts w:hint="eastAsia" w:ascii="宋体" w:hAnsi="宋体" w:cs="宋体"/>
                <w:b/>
                <w:bCs/>
                <w:color w:val="auto"/>
                <w:szCs w:val="21"/>
              </w:rPr>
              <w:t>投标文件数量</w:t>
            </w:r>
          </w:p>
        </w:tc>
        <w:tc>
          <w:tcPr>
            <w:tcW w:w="7127" w:type="dxa"/>
            <w:vAlign w:val="center"/>
          </w:tcPr>
          <w:p>
            <w:pPr>
              <w:widowControl/>
              <w:spacing w:line="360" w:lineRule="exact"/>
              <w:ind w:firstLine="89" w:firstLineChars="42"/>
              <w:jc w:val="left"/>
              <w:rPr>
                <w:rFonts w:ascii="宋体" w:hAnsi="宋体" w:cs="宋体"/>
                <w:b/>
                <w:bCs/>
                <w:color w:val="auto"/>
                <w:szCs w:val="21"/>
              </w:rPr>
            </w:pPr>
            <w:r>
              <w:rPr>
                <w:rFonts w:hint="eastAsia" w:ascii="宋体" w:hAnsi="宋体" w:cs="宋体"/>
                <w:b/>
                <w:color w:val="auto"/>
                <w:kern w:val="0"/>
                <w:szCs w:val="21"/>
              </w:rPr>
              <w:t>正本</w:t>
            </w:r>
            <w:r>
              <w:rPr>
                <w:rFonts w:hint="eastAsia" w:ascii="宋体" w:hAnsi="宋体" w:cs="宋体"/>
                <w:b/>
                <w:color w:val="auto"/>
                <w:kern w:val="0"/>
                <w:szCs w:val="21"/>
                <w:u w:val="single"/>
              </w:rPr>
              <w:t xml:space="preserve"> 1 </w:t>
            </w:r>
            <w:r>
              <w:rPr>
                <w:rFonts w:hint="eastAsia" w:ascii="宋体" w:hAnsi="宋体" w:cs="宋体"/>
                <w:b/>
                <w:color w:val="auto"/>
                <w:kern w:val="0"/>
                <w:szCs w:val="21"/>
              </w:rPr>
              <w:t>份，副本</w:t>
            </w:r>
            <w:r>
              <w:rPr>
                <w:rFonts w:hint="eastAsia" w:ascii="宋体" w:hAnsi="宋体" w:cs="宋体"/>
                <w:b/>
                <w:color w:val="auto"/>
                <w:kern w:val="0"/>
                <w:szCs w:val="21"/>
                <w:u w:val="single"/>
              </w:rPr>
              <w:t xml:space="preserve"> 2 </w:t>
            </w:r>
            <w:r>
              <w:rPr>
                <w:rFonts w:hint="eastAsia" w:ascii="宋体" w:hAnsi="宋体" w:cs="宋体"/>
                <w:b/>
                <w:color w:val="auto"/>
                <w:kern w:val="0"/>
                <w:szCs w:val="21"/>
              </w:rPr>
              <w:t>份，正副本不一致时，以正本为准。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670" w:type="dxa"/>
            <w:vAlign w:val="center"/>
          </w:tcPr>
          <w:p>
            <w:pPr>
              <w:numPr>
                <w:ilvl w:val="0"/>
                <w:numId w:val="1"/>
              </w:numPr>
              <w:spacing w:line="360" w:lineRule="exact"/>
              <w:jc w:val="center"/>
              <w:rPr>
                <w:rFonts w:ascii="宋体" w:hAnsi="宋体" w:cs="宋体"/>
                <w:color w:val="auto"/>
                <w:szCs w:val="21"/>
                <w:highlight w:val="yellow"/>
              </w:rPr>
            </w:pPr>
          </w:p>
        </w:tc>
        <w:tc>
          <w:tcPr>
            <w:tcW w:w="2400" w:type="dxa"/>
            <w:vAlign w:val="center"/>
          </w:tcPr>
          <w:p>
            <w:pPr>
              <w:spacing w:line="360" w:lineRule="exact"/>
              <w:jc w:val="left"/>
              <w:rPr>
                <w:rFonts w:ascii="宋体" w:hAnsi="宋体" w:cs="宋体"/>
                <w:color w:val="auto"/>
                <w:szCs w:val="21"/>
                <w:highlight w:val="yellow"/>
              </w:rPr>
            </w:pPr>
            <w:r>
              <w:rPr>
                <w:rFonts w:hint="eastAsia" w:ascii="宋体" w:hAnsi="宋体" w:cs="宋体"/>
                <w:color w:val="auto"/>
                <w:szCs w:val="21"/>
                <w:highlight w:val="yellow"/>
              </w:rPr>
              <w:t>签字或盖章及密封要求</w:t>
            </w:r>
          </w:p>
        </w:tc>
        <w:tc>
          <w:tcPr>
            <w:tcW w:w="7127" w:type="dxa"/>
            <w:vAlign w:val="center"/>
          </w:tcPr>
          <w:p>
            <w:pPr>
              <w:spacing w:line="360" w:lineRule="exact"/>
              <w:rPr>
                <w:rFonts w:ascii="宋体" w:hAnsi="宋体" w:cs="宋体"/>
                <w:b/>
                <w:color w:val="auto"/>
                <w:kern w:val="0"/>
                <w:szCs w:val="21"/>
                <w:highlight w:val="yellow"/>
              </w:rPr>
            </w:pPr>
            <w:r>
              <w:rPr>
                <w:rFonts w:hint="eastAsia" w:ascii="宋体" w:hAnsi="宋体" w:cs="宋体"/>
                <w:b/>
                <w:color w:val="auto"/>
                <w:spacing w:val="-4"/>
                <w:kern w:val="0"/>
                <w:szCs w:val="21"/>
                <w:highlight w:val="yellow"/>
              </w:rPr>
              <w:t>一正两副装订成册，密封在各档案袋中，各部分档案袋封面注明项目名称、单位、联系人及联系方式</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1" w:hRule="atLeast"/>
          <w:jc w:val="center"/>
        </w:trPr>
        <w:tc>
          <w:tcPr>
            <w:tcW w:w="670" w:type="dxa"/>
            <w:vAlign w:val="center"/>
          </w:tcPr>
          <w:p>
            <w:pPr>
              <w:numPr>
                <w:ilvl w:val="0"/>
                <w:numId w:val="1"/>
              </w:numPr>
              <w:spacing w:line="360" w:lineRule="exact"/>
              <w:jc w:val="center"/>
              <w:rPr>
                <w:rFonts w:ascii="宋体" w:hAnsi="宋体" w:cs="宋体"/>
                <w:color w:val="auto"/>
                <w:szCs w:val="21"/>
              </w:rPr>
            </w:pPr>
          </w:p>
        </w:tc>
        <w:tc>
          <w:tcPr>
            <w:tcW w:w="2400" w:type="dxa"/>
            <w:vAlign w:val="center"/>
          </w:tcPr>
          <w:p>
            <w:pPr>
              <w:spacing w:line="360" w:lineRule="exact"/>
              <w:jc w:val="left"/>
              <w:rPr>
                <w:rFonts w:ascii="宋体" w:hAnsi="宋体" w:cs="宋体"/>
                <w:color w:val="auto"/>
                <w:szCs w:val="21"/>
              </w:rPr>
            </w:pPr>
            <w:r>
              <w:rPr>
                <w:rFonts w:hint="eastAsia" w:ascii="宋体" w:hAnsi="宋体" w:cs="宋体"/>
                <w:color w:val="auto"/>
                <w:szCs w:val="21"/>
              </w:rPr>
              <w:t>投标文件提交截止时间</w:t>
            </w:r>
          </w:p>
        </w:tc>
        <w:tc>
          <w:tcPr>
            <w:tcW w:w="7127" w:type="dxa"/>
            <w:vAlign w:val="center"/>
          </w:tcPr>
          <w:p>
            <w:pPr>
              <w:spacing w:line="360" w:lineRule="exact"/>
              <w:rPr>
                <w:rFonts w:ascii="宋体" w:hAnsi="宋体" w:cs="宋体"/>
                <w:color w:val="auto"/>
                <w:szCs w:val="21"/>
              </w:rPr>
            </w:pPr>
            <w:r>
              <w:rPr>
                <w:rFonts w:hint="eastAsia" w:ascii="宋体" w:hAnsi="宋体" w:cs="宋体"/>
                <w:color w:val="auto"/>
                <w:szCs w:val="21"/>
              </w:rPr>
              <w:t>递交投标文件截止时间：</w:t>
            </w:r>
            <w:r>
              <w:rPr>
                <w:rFonts w:hint="eastAsia" w:ascii="宋体" w:hAnsi="宋体" w:cs="宋体"/>
                <w:b/>
                <w:bCs/>
                <w:color w:val="auto"/>
                <w:szCs w:val="21"/>
              </w:rPr>
              <w:t>2024年3月</w:t>
            </w:r>
            <w:r>
              <w:rPr>
                <w:rFonts w:hint="eastAsia" w:ascii="宋体" w:hAnsi="宋体" w:cs="宋体"/>
                <w:b/>
                <w:bCs/>
                <w:color w:val="auto"/>
                <w:szCs w:val="21"/>
                <w:lang w:val="en-US" w:eastAsia="zh-CN"/>
              </w:rPr>
              <w:t>16</w:t>
            </w:r>
            <w:r>
              <w:rPr>
                <w:rFonts w:hint="eastAsia" w:ascii="宋体" w:hAnsi="宋体" w:cs="宋体"/>
                <w:b/>
                <w:bCs/>
                <w:color w:val="auto"/>
                <w:szCs w:val="21"/>
              </w:rPr>
              <w:t>日</w:t>
            </w:r>
            <w:r>
              <w:rPr>
                <w:rFonts w:hint="eastAsia" w:ascii="宋体" w:hAnsi="宋体" w:cs="宋体"/>
                <w:b/>
                <w:bCs/>
                <w:color w:val="auto"/>
                <w:szCs w:val="21"/>
                <w:lang w:val="en-US" w:eastAsia="zh-CN"/>
              </w:rPr>
              <w:t>8</w:t>
            </w:r>
            <w:r>
              <w:rPr>
                <w:rFonts w:hint="eastAsia" w:ascii="宋体" w:hAnsi="宋体" w:cs="宋体"/>
                <w:b/>
                <w:bCs/>
                <w:color w:val="auto"/>
                <w:szCs w:val="21"/>
              </w:rPr>
              <w:t>时</w:t>
            </w:r>
            <w:r>
              <w:rPr>
                <w:rFonts w:hint="eastAsia" w:ascii="宋体" w:hAnsi="宋体" w:cs="宋体"/>
                <w:b/>
                <w:bCs/>
                <w:color w:val="auto"/>
                <w:szCs w:val="21"/>
                <w:lang w:val="en-US" w:eastAsia="zh-CN"/>
              </w:rPr>
              <w:t>3</w:t>
            </w:r>
            <w:r>
              <w:rPr>
                <w:rFonts w:hint="eastAsia" w:ascii="宋体" w:hAnsi="宋体" w:cs="宋体"/>
                <w:b/>
                <w:bCs/>
                <w:color w:val="auto"/>
                <w:szCs w:val="21"/>
              </w:rPr>
              <w:t>0分（北京时间）</w:t>
            </w:r>
          </w:p>
          <w:p>
            <w:pPr>
              <w:spacing w:line="360" w:lineRule="exact"/>
              <w:rPr>
                <w:rFonts w:ascii="宋体" w:hAnsi="宋体" w:cs="宋体"/>
                <w:color w:val="auto"/>
                <w:szCs w:val="21"/>
              </w:rPr>
            </w:pPr>
            <w:r>
              <w:rPr>
                <w:rFonts w:hint="eastAsia" w:ascii="宋体" w:hAnsi="宋体" w:cs="宋体"/>
                <w:b/>
                <w:color w:val="auto"/>
                <w:szCs w:val="21"/>
              </w:rPr>
              <w:t>注：以投标人在投标截止时间前递交的投标文件为准，逾期提交的，投标文件将被拒绝。</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93" w:hRule="atLeast"/>
          <w:jc w:val="center"/>
        </w:trPr>
        <w:tc>
          <w:tcPr>
            <w:tcW w:w="670" w:type="dxa"/>
            <w:vAlign w:val="center"/>
          </w:tcPr>
          <w:p>
            <w:pPr>
              <w:numPr>
                <w:ilvl w:val="0"/>
                <w:numId w:val="1"/>
              </w:numPr>
              <w:spacing w:line="360" w:lineRule="exact"/>
              <w:jc w:val="center"/>
              <w:rPr>
                <w:rFonts w:ascii="宋体" w:hAnsi="宋体" w:cs="宋体"/>
                <w:color w:val="auto"/>
                <w:szCs w:val="21"/>
              </w:rPr>
            </w:pPr>
          </w:p>
        </w:tc>
        <w:tc>
          <w:tcPr>
            <w:tcW w:w="2400" w:type="dxa"/>
            <w:vAlign w:val="center"/>
          </w:tcPr>
          <w:p>
            <w:pPr>
              <w:spacing w:line="360" w:lineRule="exact"/>
              <w:jc w:val="left"/>
              <w:rPr>
                <w:rFonts w:ascii="宋体" w:hAnsi="宋体" w:cs="宋体"/>
                <w:color w:val="auto"/>
                <w:szCs w:val="21"/>
              </w:rPr>
            </w:pPr>
            <w:r>
              <w:rPr>
                <w:rFonts w:hint="eastAsia" w:ascii="宋体" w:hAnsi="宋体" w:cs="宋体"/>
                <w:color w:val="auto"/>
                <w:szCs w:val="21"/>
              </w:rPr>
              <w:t>是否退还投标文件</w:t>
            </w:r>
          </w:p>
        </w:tc>
        <w:tc>
          <w:tcPr>
            <w:tcW w:w="7127" w:type="dxa"/>
            <w:vAlign w:val="center"/>
          </w:tcPr>
          <w:p>
            <w:pPr>
              <w:spacing w:line="360" w:lineRule="exact"/>
              <w:rPr>
                <w:rFonts w:ascii="宋体" w:hAnsi="宋体" w:cs="宋体"/>
                <w:color w:val="auto"/>
                <w:szCs w:val="21"/>
              </w:rPr>
            </w:pPr>
            <w:r>
              <w:rPr>
                <w:rFonts w:hint="eastAsia" w:ascii="宋体" w:hAnsi="宋体" w:cs="宋体"/>
                <w:color w:val="auto"/>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670" w:type="dxa"/>
            <w:vAlign w:val="center"/>
          </w:tcPr>
          <w:p>
            <w:pPr>
              <w:numPr>
                <w:ilvl w:val="0"/>
                <w:numId w:val="1"/>
              </w:numPr>
              <w:spacing w:line="360" w:lineRule="exact"/>
              <w:jc w:val="center"/>
              <w:rPr>
                <w:rFonts w:ascii="宋体" w:hAnsi="宋体" w:cs="宋体"/>
                <w:color w:val="auto"/>
                <w:szCs w:val="21"/>
              </w:rPr>
            </w:pPr>
          </w:p>
        </w:tc>
        <w:tc>
          <w:tcPr>
            <w:tcW w:w="2400" w:type="dxa"/>
            <w:vAlign w:val="center"/>
          </w:tcPr>
          <w:p>
            <w:pPr>
              <w:spacing w:line="360" w:lineRule="exact"/>
              <w:jc w:val="left"/>
              <w:rPr>
                <w:rFonts w:ascii="宋体" w:hAnsi="宋体" w:cs="宋体"/>
                <w:color w:val="auto"/>
                <w:szCs w:val="21"/>
              </w:rPr>
            </w:pPr>
            <w:r>
              <w:rPr>
                <w:rFonts w:hint="eastAsia" w:ascii="宋体" w:hAnsi="宋体" w:cs="宋体"/>
                <w:color w:val="auto"/>
                <w:szCs w:val="21"/>
              </w:rPr>
              <w:t>开标程序</w:t>
            </w:r>
          </w:p>
        </w:tc>
        <w:tc>
          <w:tcPr>
            <w:tcW w:w="7127" w:type="dxa"/>
            <w:vAlign w:val="center"/>
          </w:tcPr>
          <w:p>
            <w:pPr>
              <w:spacing w:line="360" w:lineRule="exact"/>
              <w:rPr>
                <w:rFonts w:ascii="宋体" w:hAnsi="宋体" w:cs="宋体"/>
                <w:color w:val="auto"/>
                <w:szCs w:val="21"/>
              </w:rPr>
            </w:pPr>
            <w:r>
              <w:rPr>
                <w:rFonts w:hint="eastAsia" w:ascii="宋体" w:hAnsi="宋体" w:cs="宋体"/>
                <w:color w:val="auto"/>
                <w:szCs w:val="21"/>
              </w:rPr>
              <w:t>开标顺序：投标文件启封后，由评审委员会评审。</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4" w:hRule="atLeast"/>
          <w:jc w:val="center"/>
        </w:trPr>
        <w:tc>
          <w:tcPr>
            <w:tcW w:w="670" w:type="dxa"/>
            <w:vAlign w:val="center"/>
          </w:tcPr>
          <w:p>
            <w:pPr>
              <w:pStyle w:val="24"/>
              <w:numPr>
                <w:ilvl w:val="0"/>
                <w:numId w:val="1"/>
              </w:numPr>
              <w:spacing w:line="360" w:lineRule="exact"/>
              <w:jc w:val="center"/>
              <w:rPr>
                <w:rFonts w:ascii="宋体" w:hAnsi="宋体" w:cs="宋体"/>
                <w:color w:val="auto"/>
                <w:szCs w:val="21"/>
              </w:rPr>
            </w:pPr>
          </w:p>
        </w:tc>
        <w:tc>
          <w:tcPr>
            <w:tcW w:w="2400" w:type="dxa"/>
            <w:vAlign w:val="center"/>
          </w:tcPr>
          <w:p>
            <w:pPr>
              <w:pStyle w:val="24"/>
              <w:spacing w:line="360" w:lineRule="exact"/>
              <w:jc w:val="left"/>
              <w:rPr>
                <w:rFonts w:ascii="宋体" w:hAnsi="宋体" w:cs="宋体"/>
                <w:color w:val="auto"/>
                <w:szCs w:val="21"/>
              </w:rPr>
            </w:pPr>
            <w:r>
              <w:rPr>
                <w:rFonts w:hint="eastAsia" w:ascii="宋体" w:hAnsi="宋体" w:cs="宋体"/>
                <w:color w:val="auto"/>
                <w:szCs w:val="21"/>
              </w:rPr>
              <w:t>评标委员会的组建</w:t>
            </w:r>
          </w:p>
        </w:tc>
        <w:tc>
          <w:tcPr>
            <w:tcW w:w="7127" w:type="dxa"/>
          </w:tcPr>
          <w:p>
            <w:pPr>
              <w:pStyle w:val="24"/>
              <w:spacing w:line="360" w:lineRule="exact"/>
              <w:rPr>
                <w:rFonts w:ascii="宋体" w:hAnsi="宋体" w:cs="宋体"/>
                <w:color w:val="auto"/>
                <w:szCs w:val="21"/>
              </w:rPr>
            </w:pPr>
            <w:r>
              <w:rPr>
                <w:rFonts w:hint="eastAsia" w:ascii="宋体" w:hAnsi="宋体" w:cs="宋体"/>
                <w:color w:val="auto"/>
                <w:szCs w:val="21"/>
              </w:rPr>
              <w:t>依法组建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4" w:hRule="atLeast"/>
          <w:jc w:val="center"/>
        </w:trPr>
        <w:tc>
          <w:tcPr>
            <w:tcW w:w="670" w:type="dxa"/>
            <w:vAlign w:val="center"/>
          </w:tcPr>
          <w:p>
            <w:pPr>
              <w:pStyle w:val="24"/>
              <w:numPr>
                <w:ilvl w:val="0"/>
                <w:numId w:val="1"/>
              </w:numPr>
              <w:spacing w:line="360" w:lineRule="exact"/>
              <w:jc w:val="center"/>
              <w:rPr>
                <w:rFonts w:ascii="宋体" w:hAnsi="宋体" w:cs="宋体"/>
                <w:color w:val="auto"/>
                <w:szCs w:val="21"/>
              </w:rPr>
            </w:pPr>
          </w:p>
        </w:tc>
        <w:tc>
          <w:tcPr>
            <w:tcW w:w="2400" w:type="dxa"/>
            <w:vAlign w:val="center"/>
          </w:tcPr>
          <w:p>
            <w:pPr>
              <w:pStyle w:val="24"/>
              <w:spacing w:line="360" w:lineRule="exact"/>
              <w:jc w:val="left"/>
              <w:rPr>
                <w:rFonts w:ascii="宋体" w:hAnsi="宋体" w:cs="宋体"/>
                <w:color w:val="auto"/>
                <w:szCs w:val="21"/>
              </w:rPr>
            </w:pPr>
            <w:r>
              <w:rPr>
                <w:rFonts w:hint="eastAsia" w:ascii="宋体" w:hAnsi="宋体" w:cs="宋体"/>
                <w:color w:val="auto"/>
                <w:szCs w:val="21"/>
              </w:rPr>
              <w:t>是否授权评标委员会确定中标候选人</w:t>
            </w:r>
          </w:p>
        </w:tc>
        <w:tc>
          <w:tcPr>
            <w:tcW w:w="7127" w:type="dxa"/>
            <w:vAlign w:val="center"/>
          </w:tcPr>
          <w:p>
            <w:pPr>
              <w:pStyle w:val="24"/>
              <w:spacing w:line="360" w:lineRule="exact"/>
              <w:rPr>
                <w:rFonts w:ascii="宋体" w:hAnsi="宋体" w:cs="宋体"/>
                <w:color w:val="auto"/>
                <w:szCs w:val="21"/>
              </w:rPr>
            </w:pPr>
            <w:r>
              <w:rPr>
                <w:rFonts w:hint="eastAsia" w:ascii="宋体" w:hAnsi="宋体" w:cs="宋体"/>
                <w:color w:val="auto"/>
                <w:szCs w:val="21"/>
              </w:rPr>
              <w:t>是，评标委员会推荐</w:t>
            </w:r>
            <w:r>
              <w:rPr>
                <w:rFonts w:hint="eastAsia" w:ascii="宋体" w:hAnsi="宋体" w:cs="宋体"/>
                <w:color w:val="auto"/>
                <w:szCs w:val="21"/>
                <w:u w:val="single"/>
              </w:rPr>
              <w:t>3</w:t>
            </w:r>
            <w:r>
              <w:rPr>
                <w:rFonts w:hint="eastAsia" w:ascii="宋体" w:hAnsi="宋体" w:cs="宋体"/>
                <w:color w:val="auto"/>
                <w:szCs w:val="21"/>
              </w:rPr>
              <w:t>名中标候选人。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4" w:hRule="atLeast"/>
          <w:jc w:val="center"/>
        </w:trPr>
        <w:tc>
          <w:tcPr>
            <w:tcW w:w="670" w:type="dxa"/>
            <w:vAlign w:val="center"/>
          </w:tcPr>
          <w:p>
            <w:pPr>
              <w:pStyle w:val="24"/>
              <w:numPr>
                <w:ilvl w:val="0"/>
                <w:numId w:val="1"/>
              </w:numPr>
              <w:spacing w:line="360" w:lineRule="exact"/>
              <w:jc w:val="center"/>
              <w:rPr>
                <w:rFonts w:ascii="宋体" w:hAnsi="宋体" w:cs="宋体"/>
                <w:color w:val="auto"/>
                <w:szCs w:val="21"/>
              </w:rPr>
            </w:pPr>
          </w:p>
        </w:tc>
        <w:tc>
          <w:tcPr>
            <w:tcW w:w="2400" w:type="dxa"/>
            <w:vAlign w:val="center"/>
          </w:tcPr>
          <w:p>
            <w:pPr>
              <w:pStyle w:val="24"/>
              <w:spacing w:line="360" w:lineRule="exact"/>
              <w:jc w:val="left"/>
              <w:rPr>
                <w:rFonts w:ascii="宋体" w:hAnsi="宋体" w:cs="宋体"/>
                <w:color w:val="auto"/>
                <w:szCs w:val="21"/>
              </w:rPr>
            </w:pPr>
            <w:r>
              <w:rPr>
                <w:rFonts w:hint="eastAsia" w:ascii="宋体" w:hAnsi="宋体" w:cs="宋体"/>
                <w:bCs/>
                <w:color w:val="auto"/>
                <w:szCs w:val="21"/>
                <w:u w:color="000000"/>
              </w:rPr>
              <w:t>中标结果公告媒介</w:t>
            </w:r>
          </w:p>
        </w:tc>
        <w:tc>
          <w:tcPr>
            <w:tcW w:w="7127" w:type="dxa"/>
            <w:vAlign w:val="center"/>
          </w:tcPr>
          <w:p>
            <w:pPr>
              <w:pStyle w:val="24"/>
              <w:spacing w:line="360" w:lineRule="exact"/>
              <w:rPr>
                <w:rFonts w:ascii="宋体" w:hAnsi="宋体" w:cs="宋体"/>
                <w:color w:val="auto"/>
                <w:szCs w:val="21"/>
              </w:rPr>
            </w:pPr>
            <w:r>
              <w:rPr>
                <w:rFonts w:hint="eastAsia" w:ascii="宋体" w:hAnsi="宋体" w:cs="宋体"/>
                <w:bCs/>
                <w:color w:val="auto"/>
                <w:szCs w:val="21"/>
              </w:rPr>
              <w:t>滁州市第二人民医院官网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4" w:hRule="atLeast"/>
          <w:jc w:val="center"/>
        </w:trPr>
        <w:tc>
          <w:tcPr>
            <w:tcW w:w="670" w:type="dxa"/>
            <w:vAlign w:val="center"/>
          </w:tcPr>
          <w:p>
            <w:pPr>
              <w:pStyle w:val="24"/>
              <w:numPr>
                <w:ilvl w:val="0"/>
                <w:numId w:val="1"/>
              </w:numPr>
              <w:spacing w:line="360" w:lineRule="exact"/>
              <w:jc w:val="center"/>
              <w:rPr>
                <w:rFonts w:ascii="宋体" w:hAnsi="宋体" w:cs="宋体"/>
                <w:color w:val="auto"/>
                <w:szCs w:val="21"/>
              </w:rPr>
            </w:pPr>
          </w:p>
        </w:tc>
        <w:tc>
          <w:tcPr>
            <w:tcW w:w="2400" w:type="dxa"/>
            <w:vAlign w:val="center"/>
          </w:tcPr>
          <w:p>
            <w:pPr>
              <w:pStyle w:val="24"/>
              <w:spacing w:line="360" w:lineRule="exact"/>
              <w:jc w:val="left"/>
              <w:rPr>
                <w:rFonts w:ascii="宋体" w:hAnsi="宋体" w:cs="宋体"/>
                <w:color w:val="auto"/>
                <w:szCs w:val="21"/>
              </w:rPr>
            </w:pPr>
            <w:r>
              <w:rPr>
                <w:rFonts w:hint="eastAsia" w:ascii="宋体" w:hAnsi="宋体" w:cs="宋体"/>
                <w:bCs/>
                <w:color w:val="auto"/>
                <w:szCs w:val="21"/>
                <w:u w:color="000000"/>
              </w:rPr>
              <w:t>中标结果公告期限</w:t>
            </w:r>
          </w:p>
        </w:tc>
        <w:tc>
          <w:tcPr>
            <w:tcW w:w="7127" w:type="dxa"/>
            <w:vAlign w:val="center"/>
          </w:tcPr>
          <w:p>
            <w:pPr>
              <w:pStyle w:val="24"/>
              <w:spacing w:line="360" w:lineRule="exact"/>
              <w:rPr>
                <w:rFonts w:ascii="宋体" w:hAnsi="宋体" w:cs="宋体"/>
                <w:bCs/>
                <w:color w:val="auto"/>
                <w:szCs w:val="21"/>
              </w:rPr>
            </w:pPr>
            <w:r>
              <w:rPr>
                <w:rFonts w:hint="eastAsia" w:ascii="宋体" w:hAnsi="宋体" w:cs="宋体"/>
                <w:bCs/>
                <w:color w:val="auto"/>
                <w:szCs w:val="21"/>
              </w:rPr>
              <w:t>一个工作日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6" w:hRule="atLeast"/>
          <w:jc w:val="center"/>
        </w:trPr>
        <w:tc>
          <w:tcPr>
            <w:tcW w:w="670" w:type="dxa"/>
            <w:vAlign w:val="center"/>
          </w:tcPr>
          <w:p>
            <w:pPr>
              <w:numPr>
                <w:ilvl w:val="0"/>
                <w:numId w:val="1"/>
              </w:numPr>
              <w:spacing w:line="360" w:lineRule="exact"/>
              <w:jc w:val="center"/>
              <w:rPr>
                <w:rFonts w:ascii="宋体" w:hAnsi="宋体" w:cs="宋体"/>
                <w:color w:val="auto"/>
                <w:szCs w:val="21"/>
              </w:rPr>
            </w:pPr>
          </w:p>
        </w:tc>
        <w:tc>
          <w:tcPr>
            <w:tcW w:w="2400" w:type="dxa"/>
            <w:vAlign w:val="center"/>
          </w:tcPr>
          <w:p>
            <w:pPr>
              <w:spacing w:line="360" w:lineRule="exact"/>
              <w:jc w:val="left"/>
              <w:rPr>
                <w:rFonts w:ascii="宋体" w:hAnsi="宋体" w:cs="宋体"/>
                <w:color w:val="auto"/>
                <w:szCs w:val="21"/>
              </w:rPr>
            </w:pPr>
            <w:r>
              <w:rPr>
                <w:rFonts w:hint="eastAsia" w:ascii="宋体" w:hAnsi="宋体" w:cs="宋体"/>
                <w:color w:val="auto"/>
                <w:szCs w:val="21"/>
              </w:rPr>
              <w:t>中标通知书</w:t>
            </w:r>
          </w:p>
        </w:tc>
        <w:tc>
          <w:tcPr>
            <w:tcW w:w="7127" w:type="dxa"/>
            <w:vAlign w:val="center"/>
          </w:tcPr>
          <w:p>
            <w:pPr>
              <w:spacing w:line="360" w:lineRule="exact"/>
              <w:rPr>
                <w:rFonts w:ascii="宋体" w:hAnsi="宋体" w:cs="宋体"/>
                <w:color w:val="auto"/>
                <w:szCs w:val="21"/>
              </w:rPr>
            </w:pPr>
            <w:r>
              <w:rPr>
                <w:rFonts w:hint="eastAsia" w:ascii="宋体" w:hAnsi="宋体" w:cs="宋体"/>
                <w:color w:val="auto"/>
                <w:szCs w:val="21"/>
              </w:rPr>
              <w:t>中标通知书须加盖采购人及代理机构公章后方可发出。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17" w:hRule="atLeast"/>
          <w:jc w:val="center"/>
        </w:trPr>
        <w:tc>
          <w:tcPr>
            <w:tcW w:w="670" w:type="dxa"/>
            <w:vAlign w:val="center"/>
          </w:tcPr>
          <w:p>
            <w:pPr>
              <w:numPr>
                <w:ilvl w:val="0"/>
                <w:numId w:val="1"/>
              </w:numPr>
              <w:spacing w:line="360" w:lineRule="exact"/>
              <w:jc w:val="center"/>
              <w:rPr>
                <w:rFonts w:ascii="宋体" w:hAnsi="宋体" w:cs="宋体"/>
                <w:color w:val="auto"/>
                <w:szCs w:val="21"/>
              </w:rPr>
            </w:pPr>
          </w:p>
        </w:tc>
        <w:tc>
          <w:tcPr>
            <w:tcW w:w="2400" w:type="dxa"/>
            <w:vAlign w:val="center"/>
          </w:tcPr>
          <w:p>
            <w:pPr>
              <w:spacing w:line="360" w:lineRule="exact"/>
              <w:jc w:val="left"/>
              <w:rPr>
                <w:rFonts w:ascii="宋体" w:hAnsi="宋体" w:cs="宋体"/>
                <w:color w:val="auto"/>
                <w:szCs w:val="21"/>
              </w:rPr>
            </w:pPr>
            <w:r>
              <w:rPr>
                <w:rFonts w:hint="eastAsia" w:ascii="宋体" w:hAnsi="宋体" w:cs="宋体"/>
                <w:color w:val="auto"/>
                <w:szCs w:val="21"/>
              </w:rPr>
              <w:t>中标通知书发放形式</w:t>
            </w:r>
          </w:p>
        </w:tc>
        <w:tc>
          <w:tcPr>
            <w:tcW w:w="7127" w:type="dxa"/>
            <w:vAlign w:val="center"/>
          </w:tcPr>
          <w:p>
            <w:pPr>
              <w:spacing w:line="360" w:lineRule="exact"/>
              <w:rPr>
                <w:rFonts w:ascii="宋体" w:hAnsi="宋体" w:cs="宋体"/>
                <w:color w:val="auto"/>
                <w:szCs w:val="21"/>
              </w:rPr>
            </w:pPr>
            <w:r>
              <w:rPr>
                <w:rFonts w:hint="eastAsia" w:ascii="宋体" w:hAnsi="宋体" w:cs="宋体"/>
                <w:color w:val="auto"/>
                <w:szCs w:val="21"/>
              </w:rPr>
              <w:t>纸质版通知书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15" w:hRule="atLeast"/>
          <w:jc w:val="center"/>
        </w:trPr>
        <w:tc>
          <w:tcPr>
            <w:tcW w:w="3070" w:type="dxa"/>
            <w:gridSpan w:val="2"/>
            <w:vAlign w:val="center"/>
          </w:tcPr>
          <w:p>
            <w:pPr>
              <w:spacing w:line="360" w:lineRule="exact"/>
              <w:jc w:val="center"/>
              <w:rPr>
                <w:rFonts w:ascii="宋体" w:hAnsi="宋体" w:cs="宋体"/>
                <w:b/>
                <w:bCs/>
                <w:color w:val="auto"/>
                <w:szCs w:val="21"/>
              </w:rPr>
            </w:pPr>
            <w:r>
              <w:rPr>
                <w:rFonts w:hint="eastAsia" w:ascii="宋体" w:hAnsi="宋体" w:cs="宋体"/>
                <w:b/>
                <w:bCs/>
                <w:color w:val="auto"/>
                <w:szCs w:val="21"/>
              </w:rPr>
              <w:t>付款方式、时间、条件</w:t>
            </w:r>
          </w:p>
        </w:tc>
        <w:tc>
          <w:tcPr>
            <w:tcW w:w="7127" w:type="dxa"/>
            <w:vAlign w:val="center"/>
          </w:tcPr>
          <w:p>
            <w:pPr>
              <w:spacing w:line="360" w:lineRule="exact"/>
              <w:jc w:val="left"/>
              <w:rPr>
                <w:rFonts w:ascii="宋体" w:hAnsi="宋体" w:cs="宋体"/>
                <w:b/>
                <w:bCs/>
                <w:color w:val="auto"/>
                <w:szCs w:val="21"/>
              </w:rPr>
            </w:pPr>
            <w:r>
              <w:rPr>
                <w:rFonts w:hint="eastAsia" w:ascii="宋体" w:hAnsi="宋体" w:cs="宋体"/>
                <w:b/>
                <w:bCs/>
                <w:color w:val="auto"/>
                <w:szCs w:val="21"/>
              </w:rPr>
              <w:t>项目建设完成交付后按年支付软件及政务云资源服务费（每年合同期满后支付当年费用）。三年免费运维期满后，采购人每年按协同办公平台报价10%支付软件维护费，政务云存储服务费按所投报价支付（该部分</w:t>
            </w:r>
            <w:r>
              <w:rPr>
                <w:rFonts w:hint="eastAsia"/>
                <w:b/>
                <w:color w:val="auto"/>
                <w:szCs w:val="21"/>
              </w:rPr>
              <w:t>不得超过滁州市政务云的单价</w:t>
            </w:r>
            <w:r>
              <w:rPr>
                <w:rFonts w:hint="eastAsia" w:ascii="宋体" w:hAnsi="宋体" w:cs="宋体"/>
                <w:b/>
                <w:bCs/>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15" w:hRule="atLeast"/>
          <w:jc w:val="center"/>
        </w:trPr>
        <w:tc>
          <w:tcPr>
            <w:tcW w:w="3070" w:type="dxa"/>
            <w:gridSpan w:val="2"/>
            <w:vAlign w:val="center"/>
          </w:tcPr>
          <w:p>
            <w:pPr>
              <w:spacing w:line="360" w:lineRule="exact"/>
              <w:jc w:val="center"/>
              <w:rPr>
                <w:rFonts w:ascii="宋体" w:hAnsi="宋体" w:cs="宋体"/>
                <w:b/>
                <w:bCs/>
                <w:color w:val="auto"/>
                <w:szCs w:val="21"/>
              </w:rPr>
            </w:pPr>
            <w:r>
              <w:rPr>
                <w:rFonts w:hint="eastAsia" w:ascii="宋体" w:hAnsi="宋体" w:cs="宋体"/>
                <w:b/>
                <w:bCs/>
                <w:color w:val="auto"/>
                <w:szCs w:val="21"/>
              </w:rPr>
              <w:t>重要说明</w:t>
            </w:r>
          </w:p>
        </w:tc>
        <w:tc>
          <w:tcPr>
            <w:tcW w:w="7127" w:type="dxa"/>
            <w:vAlign w:val="center"/>
          </w:tcPr>
          <w:p>
            <w:pPr>
              <w:spacing w:line="360" w:lineRule="exact"/>
              <w:jc w:val="left"/>
              <w:rPr>
                <w:rFonts w:ascii="宋体" w:hAnsi="宋体" w:cs="宋体"/>
                <w:b/>
                <w:bCs/>
                <w:color w:val="auto"/>
                <w:szCs w:val="21"/>
              </w:rPr>
            </w:pPr>
            <w:r>
              <w:rPr>
                <w:rFonts w:hint="eastAsia" w:ascii="宋体" w:hAnsi="宋体" w:cs="宋体"/>
                <w:b/>
                <w:bCs/>
                <w:color w:val="auto"/>
                <w:szCs w:val="21"/>
              </w:rPr>
              <w:t>1.合同期满后，双方每年续签协同办公平台及政务云存储服务协议，如中标方因各种原因无法继续提供中标品牌协同办公平台服务内容，中标方需根据院方需求，重新自行选择协同办公平台以便院方使用，如不能继续提供系统办公平台服务，由中标方承担全部责任；</w:t>
            </w:r>
          </w:p>
          <w:p>
            <w:pPr>
              <w:spacing w:line="360" w:lineRule="exact"/>
              <w:jc w:val="left"/>
              <w:rPr>
                <w:rFonts w:ascii="宋体" w:hAnsi="宋体" w:cs="宋体"/>
                <w:b/>
                <w:bCs/>
                <w:color w:val="auto"/>
                <w:szCs w:val="21"/>
              </w:rPr>
            </w:pPr>
            <w:r>
              <w:rPr>
                <w:rFonts w:hint="eastAsia" w:ascii="宋体" w:hAnsi="宋体" w:cs="宋体"/>
                <w:b/>
                <w:bCs/>
                <w:color w:val="auto"/>
                <w:szCs w:val="21"/>
              </w:rPr>
              <w:t>2.中标人应保证其提供的服务不受任何第三方提出的侵犯其著作权、商标权、专利权等知识产权方面的起诉；如果任何第三方提出侵权指控，中标人须与该第三方交涉并承担由此发生的一切责任、费用和赔偿；</w:t>
            </w:r>
          </w:p>
          <w:p>
            <w:pPr>
              <w:spacing w:line="360" w:lineRule="exact"/>
              <w:jc w:val="left"/>
              <w:rPr>
                <w:rFonts w:ascii="宋体" w:hAnsi="宋体" w:cs="宋体"/>
                <w:b/>
                <w:bCs/>
                <w:color w:val="auto"/>
                <w:szCs w:val="21"/>
              </w:rPr>
            </w:pPr>
            <w:r>
              <w:rPr>
                <w:rFonts w:hint="eastAsia" w:ascii="宋体" w:hAnsi="宋体" w:cs="宋体"/>
                <w:b/>
                <w:bCs/>
                <w:color w:val="auto"/>
                <w:szCs w:val="21"/>
              </w:rPr>
              <w:t>3.系统对接服务：本项目除需自医院HIS提取数据，每日生成住院、门诊患者人数外，不包含与医院其他系统对接，其他系统所要求的接口费；</w:t>
            </w:r>
          </w:p>
          <w:p>
            <w:pPr>
              <w:spacing w:line="360" w:lineRule="exact"/>
              <w:jc w:val="left"/>
              <w:rPr>
                <w:rFonts w:ascii="宋体" w:hAnsi="宋体" w:cs="宋体"/>
                <w:b/>
                <w:bCs/>
                <w:color w:val="auto"/>
                <w:szCs w:val="21"/>
              </w:rPr>
            </w:pPr>
            <w:r>
              <w:rPr>
                <w:rFonts w:hint="eastAsia" w:ascii="宋体" w:hAnsi="宋体" w:cs="宋体"/>
                <w:b/>
                <w:bCs/>
                <w:color w:val="auto"/>
                <w:szCs w:val="21"/>
              </w:rPr>
              <w:t>4.本项目投标报价包含项目调研、软件开发、测试、部署、培训、验收等完成本项目的一切费用（但不包含与医院其他系统对接，其他系统所要求的接口费），请投标人自行勘察现场后，充分考虑报价风险，中标后不得以任何理由要求增加费用或拒绝提供服务（相关风险自行考虑）。</w:t>
            </w:r>
          </w:p>
        </w:tc>
      </w:tr>
      <w:bookmarkEnd w:id="0"/>
      <w:bookmarkEnd w:id="1"/>
      <w:bookmarkEnd w:id="2"/>
      <w:bookmarkEnd w:id="3"/>
      <w:bookmarkEnd w:id="4"/>
      <w:bookmarkEnd w:id="6"/>
      <w:bookmarkEnd w:id="7"/>
    </w:tbl>
    <w:p>
      <w:pPr>
        <w:pStyle w:val="3"/>
        <w:rPr>
          <w:color w:val="auto"/>
        </w:rPr>
      </w:pPr>
      <w:bookmarkStart w:id="39" w:name="_Toc20532"/>
      <w:bookmarkStart w:id="40" w:name="_Toc13234"/>
      <w:bookmarkStart w:id="41" w:name="_Toc26342"/>
      <w:bookmarkStart w:id="42" w:name="_Toc35424887"/>
      <w:bookmarkStart w:id="43" w:name="_Toc8242"/>
      <w:bookmarkStart w:id="44" w:name="_Toc35947170"/>
      <w:bookmarkStart w:id="45" w:name="_Toc35425053"/>
      <w:bookmarkStart w:id="46" w:name="_Toc15058846"/>
      <w:bookmarkStart w:id="47" w:name="_Toc531771949"/>
      <w:bookmarkStart w:id="48" w:name="_Toc8218_WPSOffice_Level1"/>
      <w:r>
        <w:rPr>
          <w:rFonts w:hint="eastAsia"/>
          <w:color w:val="auto"/>
        </w:rPr>
        <w:t>1. 总则</w:t>
      </w:r>
      <w:bookmarkEnd w:id="39"/>
      <w:bookmarkEnd w:id="40"/>
      <w:bookmarkEnd w:id="41"/>
      <w:bookmarkEnd w:id="42"/>
      <w:bookmarkEnd w:id="43"/>
      <w:bookmarkEnd w:id="44"/>
      <w:bookmarkEnd w:id="45"/>
      <w:bookmarkEnd w:id="46"/>
    </w:p>
    <w:p>
      <w:pPr>
        <w:snapToGrid w:val="0"/>
        <w:spacing w:line="440" w:lineRule="exact"/>
        <w:ind w:firstLine="422" w:firstLineChars="200"/>
        <w:rPr>
          <w:rFonts w:ascii="宋体"/>
          <w:b/>
          <w:color w:val="auto"/>
          <w:szCs w:val="21"/>
        </w:rPr>
      </w:pPr>
      <w:bookmarkStart w:id="49" w:name="_Toc35947182"/>
      <w:bookmarkStart w:id="50" w:name="_Toc152042318"/>
      <w:bookmarkStart w:id="51" w:name="_Toc246996930"/>
      <w:bookmarkStart w:id="52" w:name="_Toc35424899"/>
      <w:bookmarkStart w:id="53" w:name="_Toc246996187"/>
      <w:bookmarkStart w:id="54" w:name="_Toc179632560"/>
      <w:bookmarkStart w:id="55" w:name="_Toc506107281"/>
      <w:bookmarkStart w:id="56" w:name="_Toc247085701"/>
      <w:bookmarkStart w:id="57" w:name="_Toc152045542"/>
      <w:bookmarkStart w:id="58" w:name="_Toc15058858"/>
      <w:bookmarkStart w:id="59" w:name="_Toc144974510"/>
      <w:bookmarkStart w:id="60" w:name="_Toc35425065"/>
      <w:bookmarkStart w:id="61" w:name="_Toc324404827"/>
      <w:bookmarkStart w:id="62" w:name="_Toc32316"/>
      <w:bookmarkStart w:id="63" w:name="_Toc11696"/>
      <w:bookmarkStart w:id="64" w:name="_Toc26510"/>
      <w:bookmarkStart w:id="65" w:name="_Toc24080"/>
      <w:r>
        <w:rPr>
          <w:rFonts w:hint="eastAsia" w:ascii="宋体"/>
          <w:b/>
          <w:color w:val="auto"/>
          <w:szCs w:val="21"/>
        </w:rPr>
        <w:t>1.项目概况</w:t>
      </w:r>
    </w:p>
    <w:p>
      <w:pPr>
        <w:snapToGrid w:val="0"/>
        <w:spacing w:line="440" w:lineRule="exact"/>
        <w:ind w:firstLine="420" w:firstLineChars="200"/>
        <w:rPr>
          <w:color w:val="auto"/>
          <w:szCs w:val="21"/>
        </w:rPr>
      </w:pPr>
      <w:r>
        <w:rPr>
          <w:rFonts w:hint="eastAsia"/>
          <w:color w:val="auto"/>
          <w:szCs w:val="21"/>
        </w:rPr>
        <w:t>本次招标采购项目名称：滁州市第二人民医院协同办公平台及政务云存储服务项目</w:t>
      </w:r>
    </w:p>
    <w:p>
      <w:pPr>
        <w:snapToGrid w:val="0"/>
        <w:spacing w:line="440" w:lineRule="exact"/>
        <w:ind w:firstLine="420" w:firstLineChars="200"/>
        <w:rPr>
          <w:color w:val="auto"/>
          <w:szCs w:val="21"/>
        </w:rPr>
      </w:pPr>
      <w:r>
        <w:rPr>
          <w:rFonts w:hint="eastAsia"/>
          <w:color w:val="auto"/>
          <w:szCs w:val="21"/>
        </w:rPr>
        <w:t>采 购 人：滁州市第二人民医院（市传染病医院、市精神病医院）</w:t>
      </w:r>
    </w:p>
    <w:p>
      <w:pPr>
        <w:snapToGrid w:val="0"/>
        <w:spacing w:line="440" w:lineRule="exact"/>
        <w:ind w:firstLine="420" w:firstLineChars="200"/>
        <w:rPr>
          <w:color w:val="auto"/>
          <w:szCs w:val="21"/>
        </w:rPr>
      </w:pPr>
      <w:r>
        <w:rPr>
          <w:rFonts w:hint="eastAsia"/>
          <w:color w:val="auto"/>
          <w:szCs w:val="21"/>
        </w:rPr>
        <w:t>服务期限：自签订合同之日起40个工作日内完成合同约定内容，并根据采购人意见对个性化需求做初步调整。</w:t>
      </w:r>
    </w:p>
    <w:p>
      <w:pPr>
        <w:snapToGrid w:val="0"/>
        <w:spacing w:line="440" w:lineRule="exact"/>
        <w:ind w:firstLine="420" w:firstLineChars="200"/>
        <w:rPr>
          <w:color w:val="auto"/>
          <w:szCs w:val="21"/>
        </w:rPr>
      </w:pPr>
      <w:r>
        <w:rPr>
          <w:rFonts w:hint="eastAsia"/>
          <w:color w:val="auto"/>
          <w:szCs w:val="21"/>
        </w:rPr>
        <w:t>注：项目质保期为3年，自项目验收合格后起3年免费维护，本系统提供终生免费升级服务。</w:t>
      </w:r>
    </w:p>
    <w:p>
      <w:pPr>
        <w:snapToGrid w:val="0"/>
        <w:spacing w:line="440" w:lineRule="exact"/>
        <w:ind w:firstLine="422" w:firstLineChars="200"/>
        <w:rPr>
          <w:rFonts w:ascii="宋体"/>
          <w:b/>
          <w:color w:val="auto"/>
          <w:szCs w:val="21"/>
        </w:rPr>
      </w:pPr>
      <w:r>
        <w:rPr>
          <w:rFonts w:hint="eastAsia" w:ascii="宋体"/>
          <w:b/>
          <w:color w:val="auto"/>
          <w:szCs w:val="21"/>
        </w:rPr>
        <w:t>2.招标范围：</w:t>
      </w:r>
    </w:p>
    <w:p>
      <w:pPr>
        <w:snapToGrid w:val="0"/>
        <w:spacing w:line="440" w:lineRule="exact"/>
        <w:ind w:firstLine="420" w:firstLineChars="200"/>
        <w:rPr>
          <w:color w:val="auto"/>
          <w:szCs w:val="21"/>
        </w:rPr>
      </w:pPr>
      <w:r>
        <w:rPr>
          <w:rFonts w:hint="eastAsia"/>
          <w:color w:val="auto"/>
          <w:szCs w:val="21"/>
        </w:rPr>
        <w:t>滁州市第二人民医院协同办公平台及政务云存储服务。</w:t>
      </w:r>
    </w:p>
    <w:p>
      <w:pPr>
        <w:snapToGrid w:val="0"/>
        <w:spacing w:line="440" w:lineRule="exact"/>
        <w:ind w:firstLine="422" w:firstLineChars="200"/>
        <w:rPr>
          <w:rFonts w:ascii="宋体"/>
          <w:color w:val="auto"/>
          <w:szCs w:val="21"/>
        </w:rPr>
      </w:pPr>
      <w:r>
        <w:rPr>
          <w:rFonts w:hint="eastAsia" w:ascii="宋体"/>
          <w:b/>
          <w:color w:val="auto"/>
          <w:szCs w:val="21"/>
        </w:rPr>
        <w:t>3.标包划分：</w:t>
      </w:r>
      <w:r>
        <w:rPr>
          <w:rFonts w:hint="eastAsia" w:ascii="宋体"/>
          <w:color w:val="auto"/>
          <w:szCs w:val="21"/>
        </w:rPr>
        <w:t>一个标段。</w:t>
      </w:r>
    </w:p>
    <w:p>
      <w:pPr>
        <w:snapToGrid w:val="0"/>
        <w:spacing w:line="440" w:lineRule="exact"/>
        <w:ind w:firstLine="422" w:firstLineChars="200"/>
        <w:rPr>
          <w:rFonts w:ascii="宋体"/>
          <w:color w:val="auto"/>
          <w:szCs w:val="21"/>
        </w:rPr>
      </w:pPr>
      <w:r>
        <w:rPr>
          <w:rFonts w:hint="eastAsia" w:ascii="宋体"/>
          <w:b/>
          <w:color w:val="auto"/>
          <w:szCs w:val="21"/>
        </w:rPr>
        <w:t>4.招标方式：</w:t>
      </w:r>
      <w:r>
        <w:rPr>
          <w:rFonts w:hint="eastAsia" w:ascii="宋体"/>
          <w:color w:val="auto"/>
          <w:szCs w:val="21"/>
        </w:rPr>
        <w:t>公开招标</w:t>
      </w:r>
    </w:p>
    <w:p>
      <w:pPr>
        <w:snapToGrid w:val="0"/>
        <w:spacing w:line="440" w:lineRule="exact"/>
        <w:ind w:firstLine="422" w:firstLineChars="200"/>
        <w:rPr>
          <w:rFonts w:ascii="宋体"/>
          <w:color w:val="auto"/>
          <w:szCs w:val="21"/>
        </w:rPr>
      </w:pPr>
      <w:r>
        <w:rPr>
          <w:rFonts w:hint="eastAsia" w:ascii="宋体"/>
          <w:b/>
          <w:color w:val="auto"/>
          <w:szCs w:val="21"/>
        </w:rPr>
        <w:t>5.计价方式：</w:t>
      </w:r>
      <w:r>
        <w:rPr>
          <w:rFonts w:hint="eastAsia" w:ascii="宋体"/>
          <w:color w:val="auto"/>
          <w:szCs w:val="21"/>
        </w:rPr>
        <w:t>本次招标项目合同采用</w:t>
      </w:r>
      <w:r>
        <w:rPr>
          <w:rFonts w:hint="eastAsia" w:ascii="宋体"/>
          <w:color w:val="auto"/>
          <w:szCs w:val="21"/>
          <w:u w:val="single"/>
        </w:rPr>
        <w:t xml:space="preserve">   固定总价</w:t>
      </w:r>
      <w:r>
        <w:rPr>
          <w:rFonts w:hint="eastAsia" w:ascii="宋体"/>
          <w:color w:val="auto"/>
          <w:szCs w:val="21"/>
          <w:u w:val="single"/>
          <w:lang w:val="en-US" w:eastAsia="zh-CN"/>
        </w:rPr>
        <w:t xml:space="preserve">  </w:t>
      </w:r>
      <w:r>
        <w:rPr>
          <w:rFonts w:hint="eastAsia" w:ascii="宋体"/>
          <w:color w:val="auto"/>
          <w:szCs w:val="21"/>
          <w:u w:val="single"/>
        </w:rPr>
        <w:t>。</w:t>
      </w:r>
    </w:p>
    <w:p>
      <w:pPr>
        <w:snapToGrid w:val="0"/>
        <w:spacing w:line="440" w:lineRule="exact"/>
        <w:ind w:firstLine="422" w:firstLineChars="200"/>
        <w:rPr>
          <w:rFonts w:ascii="宋体"/>
          <w:color w:val="auto"/>
          <w:szCs w:val="21"/>
        </w:rPr>
      </w:pPr>
      <w:r>
        <w:rPr>
          <w:rFonts w:hint="eastAsia" w:ascii="宋体"/>
          <w:b/>
          <w:color w:val="auto"/>
          <w:szCs w:val="21"/>
        </w:rPr>
        <w:t>6.评标办法：</w:t>
      </w:r>
      <w:r>
        <w:rPr>
          <w:rFonts w:hint="eastAsia" w:ascii="宋体"/>
          <w:color w:val="auto"/>
          <w:szCs w:val="21"/>
        </w:rPr>
        <w:t>本次招标评标采用</w:t>
      </w:r>
      <w:r>
        <w:rPr>
          <w:rFonts w:hint="eastAsia" w:ascii="宋体"/>
          <w:color w:val="auto"/>
          <w:szCs w:val="21"/>
          <w:u w:val="single"/>
        </w:rPr>
        <w:t xml:space="preserve"> </w:t>
      </w:r>
      <w:r>
        <w:rPr>
          <w:rFonts w:hint="eastAsia" w:ascii="宋体"/>
          <w:b/>
          <w:color w:val="auto"/>
          <w:szCs w:val="21"/>
          <w:u w:val="single"/>
        </w:rPr>
        <w:t>综合评分</w:t>
      </w:r>
      <w:r>
        <w:rPr>
          <w:rFonts w:ascii="宋体"/>
          <w:b/>
          <w:color w:val="auto"/>
          <w:szCs w:val="21"/>
          <w:u w:val="single"/>
        </w:rPr>
        <w:t>法</w:t>
      </w:r>
      <w:r>
        <w:rPr>
          <w:rFonts w:hint="eastAsia" w:ascii="宋体"/>
          <w:color w:val="auto"/>
          <w:szCs w:val="21"/>
        </w:rPr>
        <w:t>（详见第三章评标办法）</w:t>
      </w:r>
    </w:p>
    <w:p>
      <w:pPr>
        <w:snapToGrid w:val="0"/>
        <w:spacing w:line="440" w:lineRule="exact"/>
        <w:ind w:firstLine="422" w:firstLineChars="200"/>
        <w:rPr>
          <w:rFonts w:ascii="宋体"/>
          <w:b/>
          <w:color w:val="auto"/>
          <w:szCs w:val="21"/>
        </w:rPr>
      </w:pPr>
      <w:r>
        <w:rPr>
          <w:rFonts w:hint="eastAsia" w:ascii="宋体"/>
          <w:b/>
          <w:color w:val="auto"/>
          <w:szCs w:val="21"/>
        </w:rPr>
        <w:t>7.投标人资格：</w:t>
      </w:r>
      <w:r>
        <w:rPr>
          <w:rFonts w:hint="eastAsia" w:ascii="宋体"/>
          <w:color w:val="auto"/>
          <w:szCs w:val="21"/>
        </w:rPr>
        <w:t>详见第一章“招标公告”</w:t>
      </w:r>
    </w:p>
    <w:p>
      <w:pPr>
        <w:pStyle w:val="3"/>
        <w:rPr>
          <w:color w:val="auto"/>
        </w:rPr>
      </w:pPr>
      <w:r>
        <w:rPr>
          <w:rFonts w:hint="eastAsia"/>
          <w:color w:val="auto"/>
        </w:rPr>
        <w:t xml:space="preserve">2. </w:t>
      </w:r>
      <w:bookmarkEnd w:id="49"/>
      <w:bookmarkEnd w:id="50"/>
      <w:bookmarkEnd w:id="51"/>
      <w:bookmarkEnd w:id="52"/>
      <w:bookmarkEnd w:id="53"/>
      <w:bookmarkEnd w:id="54"/>
      <w:bookmarkEnd w:id="55"/>
      <w:bookmarkEnd w:id="56"/>
      <w:bookmarkEnd w:id="57"/>
      <w:bookmarkEnd w:id="58"/>
      <w:bookmarkEnd w:id="59"/>
      <w:bookmarkEnd w:id="60"/>
      <w:bookmarkEnd w:id="61"/>
      <w:r>
        <w:rPr>
          <w:rFonts w:hint="eastAsia"/>
          <w:color w:val="auto"/>
        </w:rPr>
        <w:t>交易文件</w:t>
      </w:r>
      <w:bookmarkEnd w:id="62"/>
      <w:bookmarkEnd w:id="63"/>
      <w:bookmarkEnd w:id="64"/>
      <w:bookmarkEnd w:id="65"/>
    </w:p>
    <w:p>
      <w:pPr>
        <w:spacing w:line="440" w:lineRule="atLeast"/>
        <w:ind w:firstLine="422" w:firstLineChars="200"/>
        <w:outlineLvl w:val="2"/>
        <w:rPr>
          <w:rFonts w:ascii="宋体" w:hAnsi="宋体" w:cs="宋体"/>
          <w:b/>
          <w:bCs/>
          <w:color w:val="auto"/>
          <w:szCs w:val="21"/>
        </w:rPr>
      </w:pPr>
      <w:bookmarkStart w:id="66" w:name="_Toc29501"/>
      <w:bookmarkStart w:id="67" w:name="_Toc3202"/>
      <w:bookmarkStart w:id="68" w:name="_Toc144974511"/>
      <w:bookmarkStart w:id="69" w:name="_Toc247085702"/>
      <w:bookmarkStart w:id="70" w:name="_Toc23619"/>
      <w:bookmarkStart w:id="71" w:name="_Toc324404828"/>
      <w:bookmarkStart w:id="72" w:name="_Toc15058859"/>
      <w:bookmarkStart w:id="73" w:name="_Toc35425066"/>
      <w:bookmarkStart w:id="74" w:name="_Toc506107282"/>
      <w:bookmarkStart w:id="75" w:name="_Toc179632561"/>
      <w:bookmarkStart w:id="76" w:name="_Toc296602433"/>
      <w:bookmarkStart w:id="77" w:name="_Toc152042319"/>
      <w:bookmarkStart w:id="78" w:name="_Toc35947183"/>
      <w:bookmarkStart w:id="79" w:name="_Toc246996931"/>
      <w:bookmarkStart w:id="80" w:name="_Toc152045543"/>
      <w:bookmarkStart w:id="81" w:name="_Toc35424900"/>
      <w:bookmarkStart w:id="82" w:name="_Toc246996188"/>
      <w:r>
        <w:rPr>
          <w:rFonts w:hint="eastAsia" w:ascii="宋体" w:hAnsi="宋体" w:cs="宋体"/>
          <w:b/>
          <w:bCs/>
          <w:color w:val="auto"/>
          <w:szCs w:val="21"/>
        </w:rPr>
        <w:t>2.1 交易文件的组成</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pPr>
        <w:spacing w:line="440" w:lineRule="atLeast"/>
        <w:ind w:firstLine="420" w:firstLineChars="200"/>
        <w:rPr>
          <w:rFonts w:ascii="宋体" w:hAnsi="宋体" w:cs="宋体"/>
          <w:color w:val="auto"/>
          <w:szCs w:val="21"/>
        </w:rPr>
      </w:pPr>
      <w:r>
        <w:rPr>
          <w:rFonts w:hint="eastAsia" w:ascii="宋体" w:hAnsi="宋体" w:cs="宋体"/>
          <w:color w:val="auto"/>
          <w:szCs w:val="21"/>
        </w:rPr>
        <w:t>（1）投标人须知；</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（2）评标办法</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（3）采购内容及技术要求；</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（4）合同条款及格式；</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（5）投标文件格式；</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（6）投标人须知前附表规定的其他材料。</w:t>
      </w:r>
    </w:p>
    <w:p>
      <w:pPr>
        <w:spacing w:line="440" w:lineRule="atLeast"/>
        <w:ind w:firstLine="422" w:firstLineChars="200"/>
        <w:outlineLvl w:val="2"/>
        <w:rPr>
          <w:rFonts w:ascii="宋体" w:hAnsi="宋体" w:cs="宋体"/>
          <w:b/>
          <w:bCs/>
          <w:color w:val="auto"/>
          <w:szCs w:val="21"/>
        </w:rPr>
      </w:pPr>
      <w:bookmarkStart w:id="83" w:name="_Toc15058860"/>
      <w:bookmarkStart w:id="84" w:name="_Toc35424901"/>
      <w:bookmarkStart w:id="85" w:name="_Toc246996189"/>
      <w:bookmarkStart w:id="86" w:name="_Toc144974512"/>
      <w:bookmarkStart w:id="87" w:name="_Toc152042320"/>
      <w:bookmarkStart w:id="88" w:name="_Toc296602434"/>
      <w:bookmarkStart w:id="89" w:name="_Toc152045544"/>
      <w:bookmarkStart w:id="90" w:name="_Toc7670"/>
      <w:bookmarkStart w:id="91" w:name="_Toc25054"/>
      <w:bookmarkStart w:id="92" w:name="_Toc506107283"/>
      <w:bookmarkStart w:id="93" w:name="_Toc35947184"/>
      <w:bookmarkStart w:id="94" w:name="_Toc247085703"/>
      <w:bookmarkStart w:id="95" w:name="_Toc11806"/>
      <w:bookmarkStart w:id="96" w:name="_Toc246996932"/>
      <w:bookmarkStart w:id="97" w:name="_Toc35425067"/>
      <w:bookmarkStart w:id="98" w:name="_Toc324404829"/>
      <w:bookmarkStart w:id="99" w:name="_Toc179632562"/>
      <w:r>
        <w:rPr>
          <w:rFonts w:hint="eastAsia" w:ascii="宋体" w:hAnsi="宋体" w:cs="宋体"/>
          <w:b/>
          <w:bCs/>
          <w:color w:val="auto"/>
          <w:szCs w:val="21"/>
        </w:rPr>
        <w:t>2.2 交易文件的澄清</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Pr>
          <w:rFonts w:hint="eastAsia" w:ascii="宋体" w:hAnsi="宋体" w:cs="宋体"/>
          <w:b/>
          <w:bCs/>
          <w:color w:val="auto"/>
          <w:szCs w:val="21"/>
        </w:rPr>
        <w:t xml:space="preserve"> </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2.2.1 投标人应仔细阅读和检查交易文件的全部内容。如有疑问，应在投标人须知前附表规定的时间前以网上邮件或书面形式（包括信函、电报、传真等可以有形地表现所载内容的形式，下同），要求采购人对交易文件予以澄清。</w:t>
      </w:r>
    </w:p>
    <w:p>
      <w:pPr>
        <w:spacing w:line="440" w:lineRule="atLeast"/>
        <w:ind w:firstLine="422" w:firstLineChars="200"/>
        <w:outlineLvl w:val="2"/>
        <w:rPr>
          <w:rFonts w:ascii="宋体" w:hAnsi="宋体" w:cs="宋体"/>
          <w:b/>
          <w:bCs/>
          <w:color w:val="auto"/>
          <w:szCs w:val="21"/>
        </w:rPr>
      </w:pPr>
      <w:bookmarkStart w:id="100" w:name="_Toc246996933"/>
      <w:bookmarkStart w:id="101" w:name="_Toc35425068"/>
      <w:bookmarkStart w:id="102" w:name="_Toc247085704"/>
      <w:bookmarkStart w:id="103" w:name="_Toc20350"/>
      <w:bookmarkStart w:id="104" w:name="_Toc30752"/>
      <w:bookmarkStart w:id="105" w:name="_Toc35947185"/>
      <w:bookmarkStart w:id="106" w:name="_Toc152045545"/>
      <w:bookmarkStart w:id="107" w:name="_Toc246996190"/>
      <w:bookmarkStart w:id="108" w:name="_Toc179632563"/>
      <w:bookmarkStart w:id="109" w:name="_Toc506107284"/>
      <w:bookmarkStart w:id="110" w:name="_Toc296602435"/>
      <w:bookmarkStart w:id="111" w:name="_Toc15058861"/>
      <w:bookmarkStart w:id="112" w:name="_Toc152042321"/>
      <w:bookmarkStart w:id="113" w:name="_Toc144974513"/>
      <w:bookmarkStart w:id="114" w:name="_Toc324404830"/>
      <w:bookmarkStart w:id="115" w:name="_Toc35424902"/>
      <w:bookmarkStart w:id="116" w:name="_Toc12699"/>
      <w:r>
        <w:rPr>
          <w:rFonts w:hint="eastAsia" w:ascii="宋体" w:hAnsi="宋体" w:cs="宋体"/>
          <w:b/>
          <w:bCs/>
          <w:color w:val="auto"/>
          <w:szCs w:val="21"/>
        </w:rPr>
        <w:t>2.3 交易文件的修改</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pPr>
        <w:spacing w:line="440" w:lineRule="atLeast"/>
        <w:ind w:firstLine="420" w:firstLineChars="200"/>
        <w:rPr>
          <w:rFonts w:ascii="宋体" w:hAnsi="宋体" w:cs="宋体"/>
          <w:color w:val="auto"/>
          <w:szCs w:val="21"/>
        </w:rPr>
      </w:pPr>
      <w:bookmarkStart w:id="117" w:name="_Toc324404831"/>
      <w:bookmarkStart w:id="118" w:name="_Toc2312"/>
      <w:bookmarkStart w:id="119" w:name="_Toc15058862"/>
      <w:bookmarkStart w:id="120" w:name="_Toc992"/>
      <w:bookmarkStart w:id="121" w:name="_Toc35947186"/>
      <w:bookmarkStart w:id="122" w:name="_Toc35424903"/>
      <w:bookmarkStart w:id="123" w:name="_Toc22085"/>
      <w:bookmarkStart w:id="124" w:name="_Toc35425069"/>
      <w:r>
        <w:rPr>
          <w:rFonts w:hint="eastAsia" w:ascii="宋体" w:hAnsi="宋体" w:cs="宋体"/>
          <w:color w:val="auto"/>
          <w:szCs w:val="21"/>
        </w:rPr>
        <w:t>以澄清公告形式在滁州市第二人民医院（市传染病医院、市精神病医院）官网予以公告。如果澄清内容影响投标文件编制的，将相应延长投标截止时间。</w:t>
      </w:r>
    </w:p>
    <w:bookmarkEnd w:id="117"/>
    <w:bookmarkEnd w:id="118"/>
    <w:bookmarkEnd w:id="119"/>
    <w:bookmarkEnd w:id="120"/>
    <w:bookmarkEnd w:id="121"/>
    <w:bookmarkEnd w:id="122"/>
    <w:bookmarkEnd w:id="123"/>
    <w:bookmarkEnd w:id="124"/>
    <w:p>
      <w:pPr>
        <w:pStyle w:val="3"/>
        <w:rPr>
          <w:color w:val="auto"/>
        </w:rPr>
      </w:pPr>
      <w:bookmarkStart w:id="125" w:name="_Toc35425070"/>
      <w:bookmarkStart w:id="126" w:name="_Toc35947187"/>
      <w:bookmarkStart w:id="127" w:name="_Toc15058863"/>
      <w:bookmarkStart w:id="128" w:name="_Toc24360"/>
      <w:bookmarkStart w:id="129" w:name="_Toc506107285"/>
      <w:bookmarkStart w:id="130" w:name="_Toc23986"/>
      <w:bookmarkStart w:id="131" w:name="_Toc22327"/>
      <w:bookmarkStart w:id="132" w:name="_Toc7791"/>
      <w:bookmarkStart w:id="133" w:name="_Toc35424904"/>
      <w:r>
        <w:rPr>
          <w:rFonts w:hint="eastAsia"/>
          <w:color w:val="auto"/>
        </w:rPr>
        <w:t>3. 投标文件</w:t>
      </w:r>
      <w:bookmarkEnd w:id="125"/>
      <w:bookmarkEnd w:id="126"/>
      <w:bookmarkEnd w:id="127"/>
      <w:bookmarkEnd w:id="128"/>
      <w:bookmarkEnd w:id="129"/>
      <w:bookmarkEnd w:id="130"/>
      <w:bookmarkEnd w:id="131"/>
      <w:bookmarkEnd w:id="132"/>
      <w:bookmarkEnd w:id="133"/>
    </w:p>
    <w:p>
      <w:pPr>
        <w:spacing w:line="440" w:lineRule="atLeast"/>
        <w:ind w:firstLine="422" w:firstLineChars="200"/>
        <w:outlineLvl w:val="2"/>
        <w:rPr>
          <w:rFonts w:ascii="宋体" w:hAnsi="宋体" w:cs="宋体"/>
          <w:b/>
          <w:bCs/>
          <w:color w:val="auto"/>
          <w:szCs w:val="21"/>
        </w:rPr>
      </w:pPr>
      <w:bookmarkStart w:id="134" w:name="_Toc6370"/>
      <w:bookmarkStart w:id="135" w:name="_Toc506107286"/>
      <w:bookmarkStart w:id="136" w:name="_Toc35425071"/>
      <w:bookmarkStart w:id="137" w:name="_Toc35947188"/>
      <w:bookmarkStart w:id="138" w:name="_Toc13866"/>
      <w:bookmarkStart w:id="139" w:name="_Toc10744"/>
      <w:bookmarkStart w:id="140" w:name="_Toc35424905"/>
      <w:bookmarkStart w:id="141" w:name="_Toc15058864"/>
      <w:r>
        <w:rPr>
          <w:rFonts w:hint="eastAsia" w:ascii="宋体" w:hAnsi="宋体" w:cs="宋体"/>
          <w:b/>
          <w:bCs/>
          <w:color w:val="auto"/>
          <w:szCs w:val="21"/>
        </w:rPr>
        <w:t>3.1 投标文件的组成</w:t>
      </w:r>
      <w:bookmarkEnd w:id="134"/>
      <w:bookmarkEnd w:id="135"/>
      <w:bookmarkEnd w:id="136"/>
      <w:bookmarkEnd w:id="137"/>
      <w:bookmarkEnd w:id="138"/>
      <w:bookmarkEnd w:id="139"/>
      <w:bookmarkEnd w:id="140"/>
      <w:bookmarkEnd w:id="141"/>
    </w:p>
    <w:p>
      <w:pPr>
        <w:spacing w:line="440" w:lineRule="exact"/>
        <w:ind w:firstLine="422" w:firstLineChars="200"/>
        <w:rPr>
          <w:rFonts w:ascii="宋体" w:hAnsi="宋体"/>
          <w:b/>
          <w:bCs/>
          <w:color w:val="auto"/>
        </w:rPr>
      </w:pPr>
      <w:bookmarkStart w:id="142" w:name="_Toc152045548"/>
      <w:bookmarkStart w:id="143" w:name="_Toc246996193"/>
      <w:bookmarkStart w:id="144" w:name="_Toc6207"/>
      <w:bookmarkStart w:id="145" w:name="_Toc15058865"/>
      <w:bookmarkStart w:id="146" w:name="_Toc324404834"/>
      <w:bookmarkStart w:id="147" w:name="_Toc506107287"/>
      <w:bookmarkStart w:id="148" w:name="_Toc152042324"/>
      <w:bookmarkStart w:id="149" w:name="_Toc179632566"/>
      <w:bookmarkStart w:id="150" w:name="_Toc247085707"/>
      <w:bookmarkStart w:id="151" w:name="_Toc296602438"/>
      <w:bookmarkStart w:id="152" w:name="_Toc31424"/>
      <w:bookmarkStart w:id="153" w:name="_Toc14180"/>
      <w:bookmarkStart w:id="154" w:name="_Toc35425072"/>
      <w:bookmarkStart w:id="155" w:name="_Toc35424906"/>
      <w:bookmarkStart w:id="156" w:name="_Toc35947189"/>
      <w:bookmarkStart w:id="157" w:name="_Toc144974516"/>
      <w:bookmarkStart w:id="158" w:name="_Toc246996936"/>
      <w:r>
        <w:rPr>
          <w:rFonts w:hint="eastAsia" w:ascii="宋体" w:hAnsi="宋体"/>
          <w:b/>
          <w:bCs/>
          <w:color w:val="auto"/>
        </w:rPr>
        <w:t>投标文件由资信部分、技术部分</w:t>
      </w:r>
      <w:r>
        <w:rPr>
          <w:rFonts w:hint="eastAsia" w:ascii="宋体" w:hAnsi="宋体"/>
          <w:b/>
          <w:bCs/>
          <w:color w:val="auto"/>
          <w:lang w:eastAsia="zh-CN"/>
        </w:rPr>
        <w:t>（</w:t>
      </w:r>
      <w:r>
        <w:rPr>
          <w:rFonts w:hint="eastAsia" w:ascii="宋体" w:hAnsi="宋体"/>
          <w:b/>
          <w:bCs/>
          <w:color w:val="auto"/>
          <w:lang w:val="en-US" w:eastAsia="zh-CN"/>
        </w:rPr>
        <w:t>演示，非纸质</w:t>
      </w:r>
      <w:r>
        <w:rPr>
          <w:rFonts w:hint="eastAsia" w:ascii="宋体" w:hAnsi="宋体"/>
          <w:b/>
          <w:bCs/>
          <w:color w:val="auto"/>
          <w:lang w:eastAsia="zh-CN"/>
        </w:rPr>
        <w:t>）</w:t>
      </w:r>
      <w:r>
        <w:rPr>
          <w:rFonts w:hint="eastAsia" w:ascii="宋体" w:hAnsi="宋体"/>
          <w:b/>
          <w:bCs/>
          <w:color w:val="auto"/>
        </w:rPr>
        <w:t>、商务部分三部分组成，按照招标文件格式要求进行编写。</w:t>
      </w:r>
    </w:p>
    <w:p>
      <w:pPr>
        <w:spacing w:line="440" w:lineRule="atLeast"/>
        <w:ind w:firstLine="422" w:firstLineChars="200"/>
        <w:outlineLvl w:val="2"/>
        <w:rPr>
          <w:rFonts w:ascii="宋体" w:hAnsi="宋体" w:cs="宋体"/>
          <w:b/>
          <w:bCs/>
          <w:color w:val="auto"/>
          <w:szCs w:val="21"/>
        </w:rPr>
      </w:pPr>
      <w:r>
        <w:rPr>
          <w:rFonts w:hint="eastAsia" w:ascii="宋体" w:hAnsi="宋体" w:cs="宋体"/>
          <w:b/>
          <w:bCs/>
          <w:color w:val="auto"/>
          <w:szCs w:val="21"/>
        </w:rPr>
        <w:t>3.2 投标报价</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pPr>
        <w:spacing w:line="440" w:lineRule="atLeast"/>
        <w:ind w:firstLine="420" w:firstLineChars="200"/>
        <w:rPr>
          <w:rFonts w:ascii="宋体" w:hAnsi="宋体" w:cs="宋体"/>
          <w:color w:val="auto"/>
          <w:szCs w:val="21"/>
        </w:rPr>
      </w:pPr>
      <w:bookmarkStart w:id="159" w:name="_Toc15058866"/>
      <w:bookmarkStart w:id="160" w:name="_Toc8930"/>
      <w:bookmarkStart w:id="161" w:name="_Toc35947190"/>
      <w:bookmarkStart w:id="162" w:name="_Toc24368"/>
      <w:bookmarkStart w:id="163" w:name="_Toc152042325"/>
      <w:bookmarkStart w:id="164" w:name="_Toc247085708"/>
      <w:bookmarkStart w:id="165" w:name="_Toc24128"/>
      <w:bookmarkStart w:id="166" w:name="_Toc246996194"/>
      <w:bookmarkStart w:id="167" w:name="_Toc144974517"/>
      <w:bookmarkStart w:id="168" w:name="_Toc152045549"/>
      <w:bookmarkStart w:id="169" w:name="_Toc296602439"/>
      <w:bookmarkStart w:id="170" w:name="_Toc35424907"/>
      <w:bookmarkStart w:id="171" w:name="_Toc324404835"/>
      <w:bookmarkStart w:id="172" w:name="_Toc506107288"/>
      <w:bookmarkStart w:id="173" w:name="_Toc246996937"/>
      <w:bookmarkStart w:id="174" w:name="_Toc35425073"/>
      <w:bookmarkStart w:id="175" w:name="_Toc179632567"/>
      <w:r>
        <w:rPr>
          <w:rFonts w:hint="eastAsia" w:ascii="宋体" w:hAnsi="宋体" w:cs="宋体"/>
          <w:color w:val="auto"/>
          <w:szCs w:val="21"/>
        </w:rPr>
        <w:t>3.2.1投标报价文件中的单价和总价全部采用人民币表示。投标人的报价应含有服务、利润、税金、政策性文件规定及合同包含的所有风险、责任、义务等，即为完成招标文件要求的服务内容所包含的一切应有费用，采购人后期不再追加费用，投标投标人自行考虑投标风险。</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3.2.2投标人只允许有一个方案、一个报价。</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3.2.3技术要求中规定的安装、调试和培训费用应包括在投标价格中。投标文件报价为含税价，采购人不再为此次招标支付任何费用。</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3.2.4投标报价应由法定代表人或被授权人签署。</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3.2.5投标人的报价不得高于本次招标最高限价，否则将作为无效投标处理。</w:t>
      </w:r>
    </w:p>
    <w:p>
      <w:pPr>
        <w:spacing w:line="440" w:lineRule="atLeast"/>
        <w:ind w:firstLine="422" w:firstLineChars="200"/>
        <w:rPr>
          <w:rFonts w:ascii="宋体" w:hAnsi="宋体" w:cs="宋体"/>
          <w:b/>
          <w:bCs/>
          <w:color w:val="auto"/>
          <w:szCs w:val="21"/>
        </w:rPr>
      </w:pPr>
      <w:r>
        <w:rPr>
          <w:rFonts w:hint="eastAsia" w:ascii="宋体" w:hAnsi="宋体" w:cs="宋体"/>
          <w:b/>
          <w:bCs/>
          <w:color w:val="auto"/>
          <w:szCs w:val="21"/>
        </w:rPr>
        <w:t>3.2.6.中标人应保证其提供的服务不受任何第三方提出的侵犯其著作权、商标权、专利权等知识产权方面的起诉；如果任何第三方提出侵权指控，中标人须与该第三方交涉并承担由此发生的一切责任、费用和赔偿；</w:t>
      </w:r>
    </w:p>
    <w:p>
      <w:pPr>
        <w:spacing w:line="440" w:lineRule="atLeast"/>
        <w:ind w:firstLine="422" w:firstLineChars="200"/>
        <w:rPr>
          <w:rFonts w:ascii="宋体" w:hAnsi="宋体" w:cs="宋体"/>
          <w:b/>
          <w:bCs/>
          <w:color w:val="auto"/>
          <w:szCs w:val="21"/>
        </w:rPr>
      </w:pPr>
      <w:r>
        <w:rPr>
          <w:rFonts w:hint="eastAsia" w:ascii="宋体" w:hAnsi="宋体" w:cs="宋体"/>
          <w:b/>
          <w:bCs/>
          <w:color w:val="auto"/>
          <w:szCs w:val="21"/>
        </w:rPr>
        <w:t>3.2.7.系统对接服务：本项目除需自医院HIS提取数据，每日生成住院、门诊患者人数外，不包含与医院其他系统对接，其他系统所要求的接口费；</w:t>
      </w:r>
    </w:p>
    <w:p>
      <w:pPr>
        <w:spacing w:line="440" w:lineRule="atLeast"/>
        <w:ind w:firstLine="422" w:firstLineChars="200"/>
        <w:rPr>
          <w:rFonts w:ascii="宋体" w:hAnsi="宋体" w:cs="宋体"/>
          <w:b/>
          <w:bCs/>
          <w:color w:val="auto"/>
          <w:szCs w:val="21"/>
        </w:rPr>
      </w:pPr>
      <w:r>
        <w:rPr>
          <w:rFonts w:hint="eastAsia" w:ascii="宋体" w:hAnsi="宋体" w:cs="宋体"/>
          <w:b/>
          <w:bCs/>
          <w:color w:val="auto"/>
          <w:szCs w:val="21"/>
        </w:rPr>
        <w:t>3.2.8.本项目投标报价包含项目调研、软件开发、测试、部署、培训、验收等完成本项目的一切费用（但不包含与医院其他系统对接，其他系统所要求的接口费），请投标人自行勘察现场后，充分考虑报价风险，中标后不得以任何理由要求增加费用或拒绝提供服务（相关风险自行考虑）。</w:t>
      </w:r>
    </w:p>
    <w:p>
      <w:pPr>
        <w:spacing w:line="440" w:lineRule="atLeast"/>
        <w:ind w:firstLine="422" w:firstLineChars="200"/>
        <w:outlineLvl w:val="2"/>
        <w:rPr>
          <w:rFonts w:ascii="宋体" w:hAnsi="宋体" w:cs="宋体"/>
          <w:b/>
          <w:bCs/>
          <w:color w:val="auto"/>
          <w:szCs w:val="21"/>
        </w:rPr>
      </w:pPr>
      <w:r>
        <w:rPr>
          <w:rFonts w:hint="eastAsia" w:ascii="宋体" w:hAnsi="宋体" w:cs="宋体"/>
          <w:b/>
          <w:bCs/>
          <w:color w:val="auto"/>
          <w:szCs w:val="21"/>
        </w:rPr>
        <w:t>3.3 投标有效期</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pPr>
        <w:spacing w:line="440" w:lineRule="exact"/>
        <w:ind w:firstLine="420" w:firstLineChars="200"/>
        <w:rPr>
          <w:rFonts w:ascii="宋体"/>
          <w:color w:val="auto"/>
          <w:szCs w:val="21"/>
        </w:rPr>
      </w:pPr>
      <w:bookmarkStart w:id="176" w:name="_Toc324404836"/>
      <w:bookmarkStart w:id="177" w:name="_Toc246996195"/>
      <w:bookmarkStart w:id="178" w:name="_Toc179632568"/>
      <w:bookmarkStart w:id="179" w:name="_Toc152042326"/>
      <w:bookmarkStart w:id="180" w:name="_Toc247085709"/>
      <w:bookmarkStart w:id="181" w:name="_Toc11832"/>
      <w:bookmarkStart w:id="182" w:name="_Toc15058867"/>
      <w:bookmarkStart w:id="183" w:name="_Toc152045550"/>
      <w:bookmarkStart w:id="184" w:name="_Toc35425074"/>
      <w:bookmarkStart w:id="185" w:name="_Toc246996938"/>
      <w:bookmarkStart w:id="186" w:name="_Toc144974518"/>
      <w:bookmarkStart w:id="187" w:name="_Toc296602440"/>
      <w:bookmarkStart w:id="188" w:name="_Toc35424908"/>
      <w:bookmarkStart w:id="189" w:name="_Toc35947191"/>
      <w:bookmarkStart w:id="190" w:name="_Toc506107289"/>
      <w:bookmarkStart w:id="191" w:name="_Toc7863"/>
      <w:bookmarkStart w:id="192" w:name="_Toc10052"/>
      <w:r>
        <w:rPr>
          <w:rFonts w:hint="eastAsia" w:ascii="宋体"/>
          <w:color w:val="auto"/>
          <w:szCs w:val="21"/>
        </w:rPr>
        <w:t>13.1 除投标人须知前附表另有规定外，投标有效期为30天。</w:t>
      </w:r>
    </w:p>
    <w:p>
      <w:pPr>
        <w:spacing w:line="440" w:lineRule="exact"/>
        <w:ind w:firstLine="420" w:firstLineChars="200"/>
        <w:rPr>
          <w:rFonts w:ascii="宋体"/>
          <w:color w:val="auto"/>
          <w:szCs w:val="21"/>
        </w:rPr>
      </w:pPr>
      <w:r>
        <w:rPr>
          <w:rFonts w:hint="eastAsia" w:ascii="宋体"/>
          <w:color w:val="auto"/>
          <w:szCs w:val="21"/>
        </w:rPr>
        <w:t>13.2在投标有效期内，投标人撤销或修改其投标文件的，应承担招标文件和法律规定的责任。</w:t>
      </w:r>
    </w:p>
    <w:p>
      <w:pPr>
        <w:spacing w:line="440" w:lineRule="exact"/>
        <w:ind w:firstLine="420" w:firstLineChars="200"/>
        <w:rPr>
          <w:rFonts w:ascii="宋体"/>
          <w:color w:val="auto"/>
          <w:szCs w:val="21"/>
        </w:rPr>
      </w:pPr>
      <w:r>
        <w:rPr>
          <w:rFonts w:hint="eastAsia" w:ascii="宋体"/>
          <w:color w:val="auto"/>
          <w:szCs w:val="21"/>
        </w:rPr>
        <w:t>13.3出现特殊情况需要延长投标有效期的，采购人以书面形式通知所有投标人延长投标有效期。</w:t>
      </w:r>
    </w:p>
    <w:p>
      <w:pPr>
        <w:spacing w:line="440" w:lineRule="atLeast"/>
        <w:ind w:firstLine="422" w:firstLineChars="200"/>
        <w:outlineLvl w:val="2"/>
        <w:rPr>
          <w:rFonts w:ascii="宋体" w:hAnsi="宋体" w:cs="宋体"/>
          <w:color w:val="auto"/>
          <w:szCs w:val="21"/>
        </w:rPr>
      </w:pPr>
      <w:r>
        <w:rPr>
          <w:rFonts w:hint="eastAsia" w:ascii="宋体" w:hAnsi="宋体" w:cs="宋体"/>
          <w:b/>
          <w:bCs/>
          <w:color w:val="auto"/>
          <w:szCs w:val="21"/>
        </w:rPr>
        <w:t>3.4 投标保证金</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Pr>
          <w:rFonts w:hint="eastAsia" w:ascii="宋体" w:hAnsi="宋体" w:cs="宋体"/>
          <w:b/>
          <w:bCs/>
          <w:color w:val="auto"/>
          <w:szCs w:val="21"/>
        </w:rPr>
        <w:t>（本项目不需要缴纳投标保证金）</w:t>
      </w:r>
      <w:bookmarkEnd w:id="191"/>
      <w:bookmarkEnd w:id="192"/>
    </w:p>
    <w:p>
      <w:pPr>
        <w:spacing w:line="440" w:lineRule="atLeast"/>
        <w:ind w:firstLine="422" w:firstLineChars="200"/>
        <w:outlineLvl w:val="2"/>
        <w:rPr>
          <w:rFonts w:ascii="宋体" w:hAnsi="宋体" w:cs="宋体"/>
          <w:b/>
          <w:bCs/>
          <w:color w:val="auto"/>
          <w:szCs w:val="21"/>
        </w:rPr>
      </w:pPr>
      <w:bookmarkStart w:id="193" w:name="_Toc35425075"/>
      <w:bookmarkStart w:id="194" w:name="_Toc18845"/>
      <w:bookmarkStart w:id="195" w:name="_Toc35424909"/>
      <w:bookmarkStart w:id="196" w:name="_Toc35947192"/>
      <w:bookmarkStart w:id="197" w:name="_Toc324404837"/>
      <w:bookmarkStart w:id="198" w:name="_Toc2570"/>
      <w:bookmarkStart w:id="199" w:name="_Toc506107290"/>
      <w:bookmarkStart w:id="200" w:name="_Toc18536"/>
      <w:bookmarkStart w:id="201" w:name="_Toc15058868"/>
      <w:bookmarkStart w:id="202" w:name="_Toc296602442"/>
      <w:bookmarkStart w:id="203" w:name="_Toc247085711"/>
      <w:bookmarkStart w:id="204" w:name="_Toc152042329"/>
      <w:bookmarkStart w:id="205" w:name="_Toc179632571"/>
      <w:bookmarkStart w:id="206" w:name="_Toc152045553"/>
      <w:bookmarkStart w:id="207" w:name="_Toc144974521"/>
      <w:bookmarkStart w:id="208" w:name="_Toc246996197"/>
      <w:bookmarkStart w:id="209" w:name="_Toc246996940"/>
      <w:r>
        <w:rPr>
          <w:rFonts w:hint="eastAsia" w:ascii="宋体" w:hAnsi="宋体" w:cs="宋体"/>
          <w:b/>
          <w:bCs/>
          <w:color w:val="auto"/>
          <w:szCs w:val="21"/>
        </w:rPr>
        <w:t>3.5投标文件的编制</w:t>
      </w:r>
      <w:bookmarkEnd w:id="193"/>
      <w:bookmarkEnd w:id="194"/>
      <w:bookmarkEnd w:id="195"/>
      <w:bookmarkEnd w:id="196"/>
      <w:bookmarkEnd w:id="197"/>
      <w:bookmarkEnd w:id="198"/>
      <w:bookmarkEnd w:id="199"/>
      <w:bookmarkEnd w:id="200"/>
      <w:bookmarkEnd w:id="201"/>
      <w:bookmarkEnd w:id="202"/>
    </w:p>
    <w:bookmarkEnd w:id="203"/>
    <w:bookmarkEnd w:id="204"/>
    <w:bookmarkEnd w:id="205"/>
    <w:bookmarkEnd w:id="206"/>
    <w:bookmarkEnd w:id="207"/>
    <w:bookmarkEnd w:id="208"/>
    <w:bookmarkEnd w:id="209"/>
    <w:p>
      <w:pPr>
        <w:spacing w:line="440" w:lineRule="atLeast"/>
        <w:ind w:firstLine="420" w:firstLineChars="200"/>
        <w:rPr>
          <w:rFonts w:ascii="宋体" w:hAnsi="宋体" w:cs="宋体"/>
          <w:color w:val="auto"/>
          <w:szCs w:val="21"/>
        </w:rPr>
      </w:pPr>
      <w:bookmarkStart w:id="210" w:name="_Toc144974523"/>
      <w:bookmarkStart w:id="211" w:name="_Toc152042331"/>
      <w:bookmarkStart w:id="212" w:name="_Toc246996199"/>
      <w:bookmarkStart w:id="213" w:name="_Toc152045555"/>
      <w:bookmarkStart w:id="214" w:name="_Toc247085713"/>
      <w:bookmarkStart w:id="215" w:name="_Toc324404838"/>
      <w:bookmarkStart w:id="216" w:name="_Toc246996942"/>
      <w:bookmarkStart w:id="217" w:name="_Toc179632573"/>
      <w:r>
        <w:rPr>
          <w:rFonts w:hint="eastAsia" w:ascii="宋体" w:hAnsi="宋体" w:cs="宋体"/>
          <w:color w:val="auto"/>
          <w:szCs w:val="21"/>
        </w:rPr>
        <w:t>3.5.1投标文件应按“投标文件格式”进行编写，如有必要，可以增加附页，作为投标文件的组成部分。</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3.5.2 投标文件应当对交易文件有关服务期、投标有效期、质量要求、技术标准和要求、招标范围等实质性内容作出响应。</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3.5.3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3.5.4 投标文件正本、 副本份数见投标人须知前附表。正本和副本的封面上应清楚地标记“正本”或“副本”的字样。当副本和正本不一致时，以正本为准。</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3.5.5 投标文件的正本与副本应分别装订成册，具体装订要求见投标人须知前附表规定。</w:t>
      </w:r>
    </w:p>
    <w:p>
      <w:pPr>
        <w:pStyle w:val="3"/>
        <w:rPr>
          <w:color w:val="auto"/>
        </w:rPr>
      </w:pPr>
      <w:bookmarkStart w:id="218" w:name="_Toc35947193"/>
      <w:bookmarkStart w:id="219" w:name="_Toc18579"/>
      <w:bookmarkStart w:id="220" w:name="_Toc35425076"/>
      <w:bookmarkStart w:id="221" w:name="_Toc8706"/>
      <w:bookmarkStart w:id="222" w:name="_Toc506107291"/>
      <w:bookmarkStart w:id="223" w:name="_Toc8633"/>
      <w:bookmarkStart w:id="224" w:name="_Toc15058869"/>
      <w:bookmarkStart w:id="225" w:name="_Toc35424910"/>
      <w:bookmarkStart w:id="226" w:name="_Toc21503"/>
      <w:r>
        <w:rPr>
          <w:rFonts w:hint="eastAsia"/>
          <w:color w:val="auto"/>
        </w:rPr>
        <w:t>4.投标</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pPr>
        <w:spacing w:line="440" w:lineRule="atLeast"/>
        <w:ind w:firstLine="420" w:firstLineChars="200"/>
        <w:outlineLvl w:val="2"/>
        <w:rPr>
          <w:rFonts w:ascii="宋体" w:hAnsi="宋体" w:cs="宋体"/>
          <w:color w:val="auto"/>
          <w:szCs w:val="21"/>
        </w:rPr>
      </w:pPr>
      <w:bookmarkStart w:id="227" w:name="_Toc246996200"/>
      <w:bookmarkStart w:id="228" w:name="_Toc152042332"/>
      <w:bookmarkStart w:id="229" w:name="_Toc247085714"/>
      <w:bookmarkStart w:id="230" w:name="_Toc179632574"/>
      <w:bookmarkStart w:id="231" w:name="_Toc1347"/>
      <w:bookmarkStart w:id="232" w:name="_Toc144974524"/>
      <w:bookmarkStart w:id="233" w:name="_Toc296602444"/>
      <w:bookmarkStart w:id="234" w:name="_Toc30189"/>
      <w:bookmarkStart w:id="235" w:name="_Toc246996943"/>
      <w:bookmarkStart w:id="236" w:name="_Toc4607"/>
      <w:bookmarkStart w:id="237" w:name="_Toc324404839"/>
      <w:bookmarkStart w:id="238" w:name="_Toc152045556"/>
      <w:bookmarkStart w:id="239" w:name="_Toc179632577"/>
      <w:bookmarkStart w:id="240" w:name="_Toc246996203"/>
      <w:bookmarkStart w:id="241" w:name="_Toc21611136"/>
      <w:bookmarkStart w:id="242" w:name="_Toc144974527"/>
      <w:bookmarkStart w:id="243" w:name="_Toc152045559"/>
      <w:bookmarkStart w:id="244" w:name="_Toc246996946"/>
      <w:bookmarkStart w:id="245" w:name="_Toc152042335"/>
      <w:bookmarkStart w:id="246" w:name="_Toc247085717"/>
      <w:bookmarkStart w:id="247" w:name="_Toc506107295"/>
      <w:bookmarkStart w:id="248" w:name="_Toc324404842"/>
      <w:bookmarkStart w:id="249" w:name="_Toc15058884"/>
      <w:bookmarkStart w:id="250" w:name="_Toc35425085"/>
      <w:bookmarkStart w:id="251" w:name="_Toc144974530"/>
      <w:bookmarkStart w:id="252" w:name="_Toc506107299"/>
      <w:bookmarkStart w:id="253" w:name="_Toc35424919"/>
      <w:bookmarkStart w:id="254" w:name="_Toc179632580"/>
      <w:bookmarkStart w:id="255" w:name="_Toc246996949"/>
      <w:bookmarkStart w:id="256" w:name="_Toc324404846"/>
      <w:bookmarkStart w:id="257" w:name="_Toc152042338"/>
      <w:bookmarkStart w:id="258" w:name="_Toc35947202"/>
      <w:bookmarkStart w:id="259" w:name="_Toc152045562"/>
      <w:bookmarkStart w:id="260" w:name="_Toc246996206"/>
      <w:bookmarkStart w:id="261" w:name="_Toc247085720"/>
      <w:r>
        <w:rPr>
          <w:rFonts w:hint="eastAsia" w:ascii="宋体" w:hAnsi="宋体" w:cs="宋体"/>
          <w:color w:val="auto"/>
          <w:szCs w:val="21"/>
        </w:rPr>
        <w:t>4.1 投标文件的密封和标记</w:t>
      </w:r>
      <w:bookmarkEnd w:id="227"/>
      <w:bookmarkEnd w:id="228"/>
      <w:bookmarkEnd w:id="229"/>
      <w:bookmarkEnd w:id="230"/>
      <w:bookmarkEnd w:id="231"/>
      <w:bookmarkEnd w:id="232"/>
      <w:bookmarkEnd w:id="233"/>
      <w:bookmarkEnd w:id="234"/>
      <w:bookmarkEnd w:id="235"/>
      <w:bookmarkEnd w:id="236"/>
      <w:bookmarkEnd w:id="237"/>
      <w:bookmarkEnd w:id="238"/>
    </w:p>
    <w:p>
      <w:pPr>
        <w:spacing w:line="440" w:lineRule="atLeast"/>
        <w:ind w:firstLine="420" w:firstLineChars="200"/>
        <w:rPr>
          <w:rFonts w:ascii="宋体" w:hAnsi="宋体" w:cs="宋体"/>
          <w:color w:val="auto"/>
          <w:szCs w:val="21"/>
        </w:rPr>
      </w:pPr>
      <w:bookmarkStart w:id="262" w:name="_Toc246996944"/>
      <w:bookmarkStart w:id="263" w:name="_Toc179632575"/>
      <w:bookmarkStart w:id="264" w:name="_Toc247085715"/>
      <w:bookmarkStart w:id="265" w:name="_Toc152042333"/>
      <w:bookmarkStart w:id="266" w:name="_Toc152045557"/>
      <w:bookmarkStart w:id="267" w:name="_Toc246996201"/>
      <w:bookmarkStart w:id="268" w:name="_Toc144974525"/>
      <w:r>
        <w:rPr>
          <w:rFonts w:hint="eastAsia" w:ascii="宋体" w:hAnsi="宋体" w:cs="宋体"/>
          <w:color w:val="auto"/>
          <w:szCs w:val="21"/>
        </w:rPr>
        <w:t>4.1.1 投标文件应进行密封包装，并在封套上加盖投标人单位章。</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4.1.2 投标文件封套上应写明的内容及具体密封要求见投标人须知前附表。</w:t>
      </w:r>
    </w:p>
    <w:p>
      <w:pPr>
        <w:spacing w:line="440" w:lineRule="atLeast"/>
        <w:ind w:firstLine="422" w:firstLineChars="200"/>
        <w:outlineLvl w:val="2"/>
        <w:rPr>
          <w:rFonts w:ascii="宋体" w:hAnsi="宋体" w:cs="宋体"/>
          <w:b/>
          <w:bCs/>
          <w:color w:val="auto"/>
          <w:szCs w:val="21"/>
        </w:rPr>
      </w:pPr>
      <w:bookmarkStart w:id="269" w:name="_Toc14812"/>
      <w:bookmarkStart w:id="270" w:name="_Toc324404840"/>
      <w:bookmarkStart w:id="271" w:name="_Toc296602445"/>
      <w:bookmarkStart w:id="272" w:name="_Toc28392"/>
      <w:bookmarkStart w:id="273" w:name="_Toc4531"/>
      <w:r>
        <w:rPr>
          <w:rFonts w:hint="eastAsia" w:ascii="宋体" w:hAnsi="宋体" w:cs="宋体"/>
          <w:b/>
          <w:bCs/>
          <w:color w:val="auto"/>
          <w:szCs w:val="21"/>
        </w:rPr>
        <w:t>4.2 投标文件的递交</w:t>
      </w:r>
      <w:bookmarkEnd w:id="262"/>
      <w:bookmarkEnd w:id="263"/>
      <w:bookmarkEnd w:id="264"/>
      <w:bookmarkEnd w:id="265"/>
      <w:bookmarkEnd w:id="266"/>
      <w:bookmarkEnd w:id="267"/>
      <w:bookmarkEnd w:id="268"/>
      <w:bookmarkEnd w:id="269"/>
      <w:bookmarkEnd w:id="270"/>
      <w:bookmarkEnd w:id="271"/>
      <w:bookmarkEnd w:id="272"/>
      <w:bookmarkEnd w:id="273"/>
    </w:p>
    <w:p>
      <w:pPr>
        <w:spacing w:line="440" w:lineRule="atLeast"/>
        <w:ind w:firstLine="420" w:firstLineChars="200"/>
        <w:rPr>
          <w:rFonts w:ascii="宋体" w:hAnsi="宋体" w:cs="宋体"/>
          <w:color w:val="auto"/>
          <w:szCs w:val="21"/>
        </w:rPr>
      </w:pPr>
      <w:r>
        <w:rPr>
          <w:rFonts w:hint="eastAsia" w:ascii="宋体" w:hAnsi="宋体" w:cs="宋体"/>
          <w:color w:val="auto"/>
          <w:szCs w:val="21"/>
        </w:rPr>
        <w:t>4.2.1投标人应在投标人须知前附表规定的投标截止时间前递交投标文件。</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4.2.2 投标人递交投标文件的地点：见投标人须知前附表。</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4.2.3 除投标人须知前附表另有规定外，投标人所递交的投标文件不予退还。</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4.2.4 逾期送达的或者未送达指定地点的投标文件，采购人不予受理。</w:t>
      </w:r>
    </w:p>
    <w:p>
      <w:pPr>
        <w:spacing w:line="440" w:lineRule="atLeast"/>
        <w:ind w:firstLine="361" w:firstLineChars="200"/>
        <w:outlineLvl w:val="2"/>
        <w:rPr>
          <w:rFonts w:ascii="宋体" w:hAnsi="宋体" w:cs="宋体"/>
          <w:b/>
          <w:bCs/>
          <w:color w:val="auto"/>
          <w:sz w:val="18"/>
          <w:szCs w:val="18"/>
        </w:rPr>
      </w:pPr>
      <w:bookmarkStart w:id="274" w:name="_Toc152042334"/>
      <w:bookmarkStart w:id="275" w:name="_Toc16808"/>
      <w:bookmarkStart w:id="276" w:name="_Toc246996945"/>
      <w:bookmarkStart w:id="277" w:name="_Toc324404841"/>
      <w:bookmarkStart w:id="278" w:name="_Toc246996202"/>
      <w:bookmarkStart w:id="279" w:name="_Toc25278"/>
      <w:bookmarkStart w:id="280" w:name="_Toc179632576"/>
      <w:bookmarkStart w:id="281" w:name="_Toc20500"/>
      <w:bookmarkStart w:id="282" w:name="_Toc247085716"/>
      <w:bookmarkStart w:id="283" w:name="_Toc144974526"/>
      <w:bookmarkStart w:id="284" w:name="_Toc296602446"/>
      <w:bookmarkStart w:id="285" w:name="_Toc152045558"/>
      <w:r>
        <w:rPr>
          <w:rFonts w:hint="eastAsia" w:ascii="宋体" w:hAnsi="宋体" w:cs="宋体"/>
          <w:b/>
          <w:bCs/>
          <w:color w:val="auto"/>
          <w:sz w:val="18"/>
          <w:szCs w:val="18"/>
        </w:rPr>
        <w:t>4.3 投标文件的修改与撤回</w:t>
      </w:r>
      <w:bookmarkEnd w:id="274"/>
      <w:bookmarkEnd w:id="275"/>
      <w:bookmarkEnd w:id="276"/>
      <w:bookmarkEnd w:id="277"/>
      <w:bookmarkEnd w:id="278"/>
      <w:bookmarkEnd w:id="279"/>
      <w:bookmarkEnd w:id="280"/>
      <w:bookmarkEnd w:id="281"/>
      <w:bookmarkEnd w:id="282"/>
      <w:bookmarkEnd w:id="283"/>
      <w:bookmarkEnd w:id="284"/>
      <w:bookmarkEnd w:id="285"/>
    </w:p>
    <w:p>
      <w:pPr>
        <w:spacing w:line="440" w:lineRule="atLeast"/>
        <w:ind w:firstLine="420" w:firstLineChars="200"/>
        <w:rPr>
          <w:rFonts w:ascii="宋体" w:hAnsi="宋体" w:cs="宋体"/>
          <w:color w:val="auto"/>
          <w:szCs w:val="21"/>
        </w:rPr>
      </w:pPr>
      <w:r>
        <w:rPr>
          <w:rFonts w:hint="eastAsia" w:ascii="宋体" w:hAnsi="宋体" w:cs="宋体"/>
          <w:color w:val="auto"/>
          <w:szCs w:val="21"/>
        </w:rPr>
        <w:t>4.3.1在投标人须知前附表规定的投标截止时间前，投标人可以修改或撤回已递交的投标文件，但应以书面形式通知采购人。</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4.3.2 投标人修改或撤回已递交投标文件的书面通知应按照本章第3.5.3项的要求签字或盖章。采购人收到书面通知后，投标人签到登记。</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4.3.4 修改的内容为投标文件的组成部分。修改的投标文件应按照本章第3条、第4条规定进行编制、密封、标记和递交，并标明“修改”字样。</w:t>
      </w:r>
    </w:p>
    <w:p>
      <w:pPr>
        <w:pStyle w:val="3"/>
        <w:rPr>
          <w:color w:val="auto"/>
        </w:rPr>
      </w:pPr>
      <w:bookmarkStart w:id="286" w:name="_Toc440"/>
      <w:bookmarkStart w:id="287" w:name="_Toc21875"/>
      <w:bookmarkStart w:id="288" w:name="_Toc29955"/>
      <w:bookmarkStart w:id="289" w:name="_Toc32525"/>
      <w:r>
        <w:rPr>
          <w:rFonts w:hint="eastAsia"/>
          <w:color w:val="auto"/>
        </w:rPr>
        <w:t>5. 开标</w:t>
      </w:r>
      <w:bookmarkEnd w:id="239"/>
      <w:bookmarkEnd w:id="240"/>
      <w:bookmarkEnd w:id="241"/>
      <w:bookmarkEnd w:id="242"/>
      <w:bookmarkEnd w:id="243"/>
      <w:bookmarkEnd w:id="244"/>
      <w:bookmarkEnd w:id="245"/>
      <w:bookmarkEnd w:id="246"/>
      <w:bookmarkEnd w:id="247"/>
      <w:bookmarkEnd w:id="248"/>
      <w:bookmarkEnd w:id="286"/>
      <w:bookmarkEnd w:id="287"/>
      <w:bookmarkEnd w:id="288"/>
      <w:bookmarkEnd w:id="289"/>
    </w:p>
    <w:p>
      <w:pPr>
        <w:spacing w:line="440" w:lineRule="atLeast"/>
        <w:ind w:firstLine="422" w:firstLineChars="200"/>
        <w:outlineLvl w:val="2"/>
        <w:rPr>
          <w:rFonts w:ascii="宋体" w:hAnsi="宋体" w:cs="宋体"/>
          <w:b/>
          <w:bCs/>
          <w:color w:val="auto"/>
          <w:szCs w:val="21"/>
        </w:rPr>
      </w:pPr>
      <w:bookmarkStart w:id="290" w:name="_Toc506107296"/>
      <w:bookmarkStart w:id="291" w:name="_Toc247085718"/>
      <w:bookmarkStart w:id="292" w:name="_Toc246996947"/>
      <w:bookmarkStart w:id="293" w:name="_Toc152045560"/>
      <w:bookmarkStart w:id="294" w:name="_Toc246996204"/>
      <w:bookmarkStart w:id="295" w:name="_Toc324404843"/>
      <w:bookmarkStart w:id="296" w:name="_Toc179632578"/>
      <w:bookmarkStart w:id="297" w:name="_Toc144974528"/>
      <w:bookmarkStart w:id="298" w:name="_Toc296602448"/>
      <w:bookmarkStart w:id="299" w:name="_Toc22769"/>
      <w:bookmarkStart w:id="300" w:name="_Toc20195"/>
      <w:bookmarkStart w:id="301" w:name="_Toc21611137"/>
      <w:bookmarkStart w:id="302" w:name="_Toc27151"/>
      <w:bookmarkStart w:id="303" w:name="_Toc152042336"/>
      <w:r>
        <w:rPr>
          <w:rFonts w:hint="eastAsia" w:ascii="宋体" w:hAnsi="宋体" w:cs="宋体"/>
          <w:b/>
          <w:bCs/>
          <w:color w:val="auto"/>
          <w:szCs w:val="21"/>
        </w:rPr>
        <w:t>5.1 开标时间和地点</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pPr>
        <w:spacing w:line="440" w:lineRule="atLeast"/>
        <w:ind w:firstLine="420" w:firstLineChars="200"/>
        <w:rPr>
          <w:rFonts w:ascii="宋体" w:hAnsi="宋体" w:cs="宋体"/>
          <w:color w:val="auto"/>
          <w:szCs w:val="21"/>
        </w:rPr>
      </w:pPr>
      <w:r>
        <w:rPr>
          <w:rFonts w:hint="eastAsia" w:ascii="宋体" w:hAnsi="宋体" w:cs="宋体"/>
          <w:color w:val="auto"/>
          <w:szCs w:val="21"/>
        </w:rPr>
        <w:t>采购人在投标人须知前附表规定的投标截止时间（开标时间）和地点公开开标，如投标人参加开标大会，投标人授权代表应携带授权委托书和身份证明参加并签到。</w:t>
      </w:r>
    </w:p>
    <w:p>
      <w:pPr>
        <w:spacing w:line="440" w:lineRule="atLeast"/>
        <w:ind w:firstLine="422" w:firstLineChars="200"/>
        <w:outlineLvl w:val="2"/>
        <w:rPr>
          <w:rFonts w:ascii="宋体" w:hAnsi="宋体" w:cs="宋体"/>
          <w:b/>
          <w:bCs/>
          <w:color w:val="auto"/>
          <w:szCs w:val="21"/>
        </w:rPr>
      </w:pPr>
      <w:bookmarkStart w:id="304" w:name="_Toc26563"/>
      <w:bookmarkStart w:id="305" w:name="_Toc246996205"/>
      <w:bookmarkStart w:id="306" w:name="_Toc21611138"/>
      <w:bookmarkStart w:id="307" w:name="_Toc324404844"/>
      <w:bookmarkStart w:id="308" w:name="_Toc246996948"/>
      <w:bookmarkStart w:id="309" w:name="_Toc1996"/>
      <w:bookmarkStart w:id="310" w:name="_Toc4247"/>
      <w:bookmarkStart w:id="311" w:name="_Toc152042337"/>
      <w:bookmarkStart w:id="312" w:name="_Toc296602449"/>
      <w:bookmarkStart w:id="313" w:name="_Toc144974529"/>
      <w:bookmarkStart w:id="314" w:name="_Toc506107297"/>
      <w:bookmarkStart w:id="315" w:name="_Toc179632579"/>
      <w:bookmarkStart w:id="316" w:name="_Toc152045561"/>
      <w:bookmarkStart w:id="317" w:name="_Toc247085719"/>
      <w:r>
        <w:rPr>
          <w:rFonts w:hint="eastAsia" w:ascii="宋体" w:hAnsi="宋体" w:cs="宋体"/>
          <w:b/>
          <w:bCs/>
          <w:color w:val="auto"/>
          <w:szCs w:val="21"/>
        </w:rPr>
        <w:t>5.2 开标程序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pPr>
        <w:spacing w:line="440" w:lineRule="atLeast"/>
        <w:ind w:firstLine="420" w:firstLineChars="200"/>
        <w:rPr>
          <w:rFonts w:ascii="宋体" w:hAnsi="宋体" w:cs="宋体"/>
          <w:color w:val="auto"/>
          <w:szCs w:val="21"/>
        </w:rPr>
      </w:pPr>
      <w:r>
        <w:rPr>
          <w:rFonts w:hint="eastAsia" w:ascii="宋体" w:hAnsi="宋体" w:cs="宋体"/>
          <w:color w:val="auto"/>
          <w:szCs w:val="21"/>
        </w:rPr>
        <w:t>主持人按下列程序进行开标：</w:t>
      </w:r>
      <w:bookmarkStart w:id="318" w:name="_Toc296602450"/>
      <w:bookmarkStart w:id="319" w:name="_Toc324404845"/>
    </w:p>
    <w:p>
      <w:pPr>
        <w:spacing w:line="440" w:lineRule="atLeast"/>
        <w:ind w:firstLine="420" w:firstLineChars="200"/>
        <w:rPr>
          <w:rFonts w:ascii="宋体" w:hAnsi="宋体" w:cs="宋体"/>
          <w:color w:val="auto"/>
          <w:szCs w:val="21"/>
        </w:rPr>
      </w:pPr>
      <w:bookmarkStart w:id="320" w:name="_Toc21611145"/>
      <w:bookmarkStart w:id="321" w:name="_Toc31116"/>
      <w:bookmarkStart w:id="322" w:name="_Toc24518"/>
      <w:bookmarkStart w:id="323" w:name="_Toc506107298"/>
      <w:bookmarkStart w:id="324" w:name="_Toc27763"/>
      <w:r>
        <w:rPr>
          <w:rFonts w:hint="eastAsia" w:ascii="宋体" w:hAnsi="宋体" w:cs="宋体"/>
          <w:color w:val="auto"/>
          <w:szCs w:val="21"/>
        </w:rPr>
        <w:t>（1）宣布采购人、代理机构主持人、见证人等有关人员姓名；</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 xml:space="preserve">（2）公布投标截止时间前，递交投标文件的投标人名称及数量； </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（3）投标人在投标截止时间后，拆分标书，报评委处评审；</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（4）公布投标人投标报价、服务期等内容，并记录在案；</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（5）开标结束。</w:t>
      </w:r>
    </w:p>
    <w:p>
      <w:pPr>
        <w:spacing w:line="440" w:lineRule="atLeast"/>
        <w:ind w:firstLine="422" w:firstLineChars="200"/>
        <w:outlineLvl w:val="2"/>
        <w:rPr>
          <w:rFonts w:ascii="宋体" w:hAnsi="宋体" w:cs="宋体"/>
          <w:b/>
          <w:bCs/>
          <w:color w:val="auto"/>
          <w:szCs w:val="21"/>
        </w:rPr>
      </w:pPr>
      <w:r>
        <w:rPr>
          <w:rFonts w:hint="eastAsia" w:ascii="宋体" w:hAnsi="宋体" w:cs="宋体"/>
          <w:b/>
          <w:bCs/>
          <w:color w:val="auto"/>
          <w:szCs w:val="21"/>
        </w:rPr>
        <w:t>5.3 开标异议</w:t>
      </w:r>
      <w:bookmarkEnd w:id="318"/>
      <w:bookmarkEnd w:id="319"/>
      <w:bookmarkEnd w:id="320"/>
      <w:bookmarkEnd w:id="321"/>
      <w:bookmarkEnd w:id="322"/>
      <w:bookmarkEnd w:id="323"/>
      <w:bookmarkEnd w:id="324"/>
    </w:p>
    <w:p>
      <w:pPr>
        <w:spacing w:line="440" w:lineRule="atLeast"/>
        <w:ind w:firstLine="420" w:firstLineChars="200"/>
        <w:rPr>
          <w:rFonts w:ascii="宋体" w:hAnsi="宋体" w:cs="宋体"/>
          <w:color w:val="auto"/>
          <w:szCs w:val="21"/>
        </w:rPr>
      </w:pPr>
      <w:r>
        <w:rPr>
          <w:rFonts w:hint="eastAsia" w:ascii="宋体" w:hAnsi="宋体" w:cs="宋体"/>
          <w:color w:val="auto"/>
          <w:szCs w:val="21"/>
        </w:rPr>
        <w:t>投标人对开标有异议的，应当在开标现场提出，采购人当场作出答复，并制作记录。</w:t>
      </w:r>
    </w:p>
    <w:p>
      <w:pPr>
        <w:pStyle w:val="3"/>
        <w:rPr>
          <w:color w:val="auto"/>
        </w:rPr>
      </w:pPr>
      <w:bookmarkStart w:id="325" w:name="_Toc32566"/>
      <w:bookmarkStart w:id="326" w:name="_Toc12593"/>
      <w:bookmarkStart w:id="327" w:name="_Toc25571"/>
      <w:bookmarkStart w:id="328" w:name="_Toc13541"/>
      <w:r>
        <w:rPr>
          <w:rFonts w:hint="eastAsia"/>
          <w:color w:val="auto"/>
        </w:rPr>
        <w:t>6. 评标</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325"/>
      <w:bookmarkEnd w:id="326"/>
      <w:bookmarkEnd w:id="327"/>
      <w:bookmarkEnd w:id="328"/>
    </w:p>
    <w:p>
      <w:pPr>
        <w:spacing w:line="440" w:lineRule="atLeast"/>
        <w:ind w:firstLine="422" w:firstLineChars="200"/>
        <w:outlineLvl w:val="2"/>
        <w:rPr>
          <w:rFonts w:ascii="宋体" w:hAnsi="宋体" w:cs="宋体"/>
          <w:b/>
          <w:bCs/>
          <w:color w:val="auto"/>
          <w:szCs w:val="21"/>
        </w:rPr>
      </w:pPr>
      <w:bookmarkStart w:id="329" w:name="_Toc35425086"/>
      <w:bookmarkStart w:id="330" w:name="_Toc27158"/>
      <w:bookmarkStart w:id="331" w:name="_Toc296602452"/>
      <w:bookmarkStart w:id="332" w:name="_Toc152042339"/>
      <w:bookmarkStart w:id="333" w:name="_Toc35947203"/>
      <w:bookmarkStart w:id="334" w:name="_Toc246996950"/>
      <w:bookmarkStart w:id="335" w:name="_Toc246996207"/>
      <w:bookmarkStart w:id="336" w:name="_Toc144974531"/>
      <w:bookmarkStart w:id="337" w:name="_Toc35424920"/>
      <w:bookmarkStart w:id="338" w:name="_Toc14047"/>
      <w:bookmarkStart w:id="339" w:name="_Toc152045563"/>
      <w:bookmarkStart w:id="340" w:name="_Toc247085721"/>
      <w:bookmarkStart w:id="341" w:name="_Toc324404847"/>
      <w:bookmarkStart w:id="342" w:name="_Toc23087"/>
      <w:bookmarkStart w:id="343" w:name="_Toc179632581"/>
      <w:bookmarkStart w:id="344" w:name="_Toc506107300"/>
      <w:bookmarkStart w:id="345" w:name="_Toc15058885"/>
      <w:r>
        <w:rPr>
          <w:rFonts w:hint="eastAsia" w:ascii="宋体" w:hAnsi="宋体" w:cs="宋体"/>
          <w:b/>
          <w:bCs/>
          <w:color w:val="auto"/>
          <w:szCs w:val="21"/>
        </w:rPr>
        <w:t>6.1 评标委员会</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pPr>
        <w:spacing w:line="440" w:lineRule="atLeast"/>
        <w:ind w:firstLine="420" w:firstLineChars="200"/>
        <w:rPr>
          <w:rFonts w:ascii="宋体" w:hAnsi="宋体" w:cs="宋体"/>
          <w:color w:val="auto"/>
          <w:szCs w:val="21"/>
        </w:rPr>
      </w:pPr>
      <w:r>
        <w:rPr>
          <w:rFonts w:hint="eastAsia" w:ascii="宋体" w:hAnsi="宋体" w:cs="宋体"/>
          <w:color w:val="auto"/>
          <w:szCs w:val="21"/>
        </w:rPr>
        <w:t>6.1.1 评标由采购人依法组建的评标委员会负责。评标委员会由采购人或其委托的招标代理机构熟悉相关业务的代表，以及有关技术、经济等方面的专家组成。评标委员会成员人数以及技术、经济等方面专家的确定方式见投标人须知前附表。</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6.1.2 评标委员会成员有下列情形之一的，应当回避：</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（1）投标人或投标人主要负责人的近亲属；</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（2）项目主管部门或者行政监督部门的人员；</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（3）与投标人有经济利益关系；</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（4）曾因在招标、评标以及其他与招标投标有关活动中从事违法行为而受过行政处罚或刑事处罚的；</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（5）与投标人有其他利害关系。</w:t>
      </w:r>
    </w:p>
    <w:p>
      <w:pPr>
        <w:spacing w:line="440" w:lineRule="atLeast"/>
        <w:ind w:firstLine="422" w:firstLineChars="200"/>
        <w:outlineLvl w:val="2"/>
        <w:rPr>
          <w:rFonts w:ascii="宋体" w:hAnsi="宋体" w:cs="宋体"/>
          <w:b/>
          <w:bCs/>
          <w:color w:val="auto"/>
          <w:szCs w:val="21"/>
        </w:rPr>
      </w:pPr>
      <w:bookmarkStart w:id="346" w:name="_Toc152045564"/>
      <w:bookmarkStart w:id="347" w:name="_Toc324404848"/>
      <w:bookmarkStart w:id="348" w:name="_Toc246996208"/>
      <w:bookmarkStart w:id="349" w:name="_Toc21925"/>
      <w:bookmarkStart w:id="350" w:name="_Toc152042340"/>
      <w:bookmarkStart w:id="351" w:name="_Toc506107301"/>
      <w:bookmarkStart w:id="352" w:name="_Toc179632582"/>
      <w:bookmarkStart w:id="353" w:name="_Toc35947204"/>
      <w:bookmarkStart w:id="354" w:name="_Toc246996951"/>
      <w:bookmarkStart w:id="355" w:name="_Toc35425087"/>
      <w:bookmarkStart w:id="356" w:name="_Toc296602453"/>
      <w:bookmarkStart w:id="357" w:name="_Toc144974532"/>
      <w:bookmarkStart w:id="358" w:name="_Toc15058886"/>
      <w:bookmarkStart w:id="359" w:name="_Toc30301"/>
      <w:bookmarkStart w:id="360" w:name="_Toc247085722"/>
      <w:bookmarkStart w:id="361" w:name="_Toc35424921"/>
      <w:bookmarkStart w:id="362" w:name="_Toc28431"/>
      <w:r>
        <w:rPr>
          <w:rFonts w:hint="eastAsia" w:ascii="宋体" w:hAnsi="宋体" w:cs="宋体"/>
          <w:b/>
          <w:bCs/>
          <w:color w:val="auto"/>
          <w:szCs w:val="21"/>
        </w:rPr>
        <w:t>6.2 评标原则</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pPr>
        <w:spacing w:line="440" w:lineRule="atLeast"/>
        <w:ind w:firstLine="420" w:firstLineChars="200"/>
        <w:rPr>
          <w:rFonts w:ascii="宋体" w:hAnsi="宋体" w:cs="宋体"/>
          <w:color w:val="auto"/>
          <w:szCs w:val="21"/>
        </w:rPr>
      </w:pPr>
      <w:r>
        <w:rPr>
          <w:rFonts w:hint="eastAsia" w:ascii="宋体" w:hAnsi="宋体" w:cs="宋体"/>
          <w:color w:val="auto"/>
          <w:szCs w:val="21"/>
        </w:rPr>
        <w:t>评标活动遵循公平、公正、科学和择优的原则。</w:t>
      </w:r>
    </w:p>
    <w:p>
      <w:pPr>
        <w:spacing w:line="440" w:lineRule="atLeast"/>
        <w:ind w:firstLine="422" w:firstLineChars="200"/>
        <w:outlineLvl w:val="2"/>
        <w:rPr>
          <w:rFonts w:ascii="宋体" w:hAnsi="宋体" w:cs="宋体"/>
          <w:b/>
          <w:bCs/>
          <w:color w:val="auto"/>
          <w:szCs w:val="21"/>
        </w:rPr>
      </w:pPr>
      <w:bookmarkStart w:id="363" w:name="_Toc15058887"/>
      <w:bookmarkStart w:id="364" w:name="_Toc152045565"/>
      <w:bookmarkStart w:id="365" w:name="_Toc296602454"/>
      <w:bookmarkStart w:id="366" w:name="_Toc144974533"/>
      <w:bookmarkStart w:id="367" w:name="_Toc35424922"/>
      <w:bookmarkStart w:id="368" w:name="_Toc20754"/>
      <w:bookmarkStart w:id="369" w:name="_Toc35947205"/>
      <w:bookmarkStart w:id="370" w:name="_Toc9695"/>
      <w:bookmarkStart w:id="371" w:name="_Toc179632583"/>
      <w:bookmarkStart w:id="372" w:name="_Toc9158"/>
      <w:bookmarkStart w:id="373" w:name="_Toc247085723"/>
      <w:bookmarkStart w:id="374" w:name="_Toc506107302"/>
      <w:bookmarkStart w:id="375" w:name="_Toc324404849"/>
      <w:bookmarkStart w:id="376" w:name="_Toc246996209"/>
      <w:bookmarkStart w:id="377" w:name="_Toc35425088"/>
      <w:bookmarkStart w:id="378" w:name="_Toc246996952"/>
      <w:bookmarkStart w:id="379" w:name="_Toc152042341"/>
      <w:r>
        <w:rPr>
          <w:rFonts w:hint="eastAsia" w:ascii="宋体" w:hAnsi="宋体" w:cs="宋体"/>
          <w:b/>
          <w:bCs/>
          <w:color w:val="auto"/>
          <w:szCs w:val="21"/>
        </w:rPr>
        <w:t>6.3 评标</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pPr>
        <w:spacing w:line="440" w:lineRule="atLeast"/>
        <w:ind w:firstLine="420" w:firstLineChars="200"/>
        <w:rPr>
          <w:rFonts w:ascii="宋体" w:hAnsi="宋体" w:cs="宋体"/>
          <w:color w:val="auto"/>
          <w:szCs w:val="21"/>
        </w:rPr>
      </w:pPr>
      <w:bookmarkStart w:id="380" w:name="_Toc247085724"/>
      <w:bookmarkStart w:id="381" w:name="_Toc144974534"/>
      <w:bookmarkStart w:id="382" w:name="_Toc324404850"/>
      <w:bookmarkStart w:id="383" w:name="_Toc246996953"/>
      <w:bookmarkStart w:id="384" w:name="_Toc246996210"/>
      <w:bookmarkStart w:id="385" w:name="_Toc179632584"/>
      <w:bookmarkStart w:id="386" w:name="_Toc152045566"/>
      <w:bookmarkStart w:id="387" w:name="_Toc152042342"/>
      <w:r>
        <w:rPr>
          <w:rFonts w:hint="eastAsia" w:ascii="宋体" w:hAnsi="宋体" w:cs="宋体"/>
          <w:color w:val="auto"/>
          <w:szCs w:val="21"/>
        </w:rPr>
        <w:t>评标委员会按照第三章“评标办法”规定的方法、评审因素、标准和程序对投标文件进行评审。第三章“评标办法”没有规定的方法、评审因素和标准，不作为评标依据。</w:t>
      </w:r>
      <w:bookmarkStart w:id="388" w:name="_Toc506107303"/>
      <w:bookmarkStart w:id="389" w:name="_Toc15727"/>
      <w:bookmarkStart w:id="390" w:name="_Toc35947206"/>
      <w:bookmarkStart w:id="391" w:name="_Toc35424923"/>
      <w:bookmarkStart w:id="392" w:name="_Toc35425089"/>
      <w:bookmarkStart w:id="393" w:name="_Toc21161"/>
      <w:bookmarkStart w:id="394" w:name="_Toc15058888"/>
      <w:bookmarkStart w:id="395" w:name="_Toc10567"/>
      <w:bookmarkStart w:id="396" w:name="_Toc15037"/>
    </w:p>
    <w:p>
      <w:pPr>
        <w:pStyle w:val="3"/>
        <w:rPr>
          <w:color w:val="auto"/>
        </w:rPr>
      </w:pPr>
      <w:r>
        <w:rPr>
          <w:rFonts w:hint="eastAsia"/>
          <w:color w:val="auto"/>
        </w:rPr>
        <w:t>7. 合同授予</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pPr>
        <w:spacing w:line="440" w:lineRule="atLeast"/>
        <w:ind w:firstLine="422" w:firstLineChars="200"/>
        <w:outlineLvl w:val="2"/>
        <w:rPr>
          <w:rFonts w:ascii="宋体" w:hAnsi="宋体" w:cs="宋体"/>
          <w:b/>
          <w:bCs/>
          <w:color w:val="auto"/>
          <w:szCs w:val="21"/>
        </w:rPr>
      </w:pPr>
      <w:bookmarkStart w:id="397" w:name="_Toc296602456"/>
      <w:bookmarkStart w:id="398" w:name="_Toc35947207"/>
      <w:bookmarkStart w:id="399" w:name="_Toc35424924"/>
      <w:bookmarkStart w:id="400" w:name="_Toc252"/>
      <w:bookmarkStart w:id="401" w:name="_Toc247085725"/>
      <w:bookmarkStart w:id="402" w:name="_Toc1037"/>
      <w:bookmarkStart w:id="403" w:name="_Toc15058889"/>
      <w:bookmarkStart w:id="404" w:name="_Toc179632585"/>
      <w:bookmarkStart w:id="405" w:name="_Toc506107304"/>
      <w:bookmarkStart w:id="406" w:name="_Toc84"/>
      <w:bookmarkStart w:id="407" w:name="_Toc144974535"/>
      <w:bookmarkStart w:id="408" w:name="_Toc152045567"/>
      <w:bookmarkStart w:id="409" w:name="_Toc246996954"/>
      <w:bookmarkStart w:id="410" w:name="_Toc152042343"/>
      <w:bookmarkStart w:id="411" w:name="_Toc35425090"/>
      <w:bookmarkStart w:id="412" w:name="_Toc324404851"/>
      <w:bookmarkStart w:id="413" w:name="_Toc246996211"/>
      <w:r>
        <w:rPr>
          <w:rFonts w:hint="eastAsia" w:ascii="宋体" w:hAnsi="宋体" w:cs="宋体"/>
          <w:b/>
          <w:bCs/>
          <w:color w:val="auto"/>
          <w:szCs w:val="21"/>
        </w:rPr>
        <w:t>7.1 定标方式</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pPr>
        <w:spacing w:line="440" w:lineRule="atLeast"/>
        <w:ind w:firstLine="420" w:firstLineChars="200"/>
        <w:rPr>
          <w:rFonts w:ascii="宋体" w:hAnsi="宋体" w:cs="宋体"/>
          <w:color w:val="auto"/>
          <w:szCs w:val="21"/>
        </w:rPr>
      </w:pPr>
      <w:bookmarkStart w:id="414" w:name="_Toc324404852"/>
      <w:bookmarkStart w:id="415" w:name="_Toc296602457"/>
      <w:r>
        <w:rPr>
          <w:rFonts w:hint="eastAsia" w:ascii="宋体" w:hAnsi="宋体" w:cs="宋体"/>
          <w:color w:val="auto"/>
          <w:szCs w:val="21"/>
        </w:rPr>
        <w:t>除投标人须知前附表规定评标委员会直接确定中标人外，采购人依据评标委员会推荐的中标候选人确定中标人，评标委员会推荐中标候选人的人数见投标人须知前附表。</w:t>
      </w:r>
    </w:p>
    <w:bookmarkEnd w:id="414"/>
    <w:bookmarkEnd w:id="415"/>
    <w:p>
      <w:pPr>
        <w:spacing w:line="440" w:lineRule="atLeast"/>
        <w:ind w:firstLine="422" w:firstLineChars="200"/>
        <w:outlineLvl w:val="2"/>
        <w:rPr>
          <w:rFonts w:ascii="宋体" w:hAnsi="宋体" w:cs="宋体"/>
          <w:b/>
          <w:bCs/>
          <w:color w:val="auto"/>
          <w:szCs w:val="21"/>
        </w:rPr>
      </w:pPr>
      <w:bookmarkStart w:id="416" w:name="_Toc324404853"/>
      <w:bookmarkStart w:id="417" w:name="_Toc18325"/>
      <w:bookmarkStart w:id="418" w:name="_Toc506107306"/>
      <w:bookmarkStart w:id="419" w:name="_Toc35425093"/>
      <w:bookmarkStart w:id="420" w:name="_Toc35424927"/>
      <w:bookmarkStart w:id="421" w:name="_Toc35947210"/>
      <w:bookmarkStart w:id="422" w:name="_Toc144974536"/>
      <w:bookmarkStart w:id="423" w:name="_Toc152045568"/>
      <w:bookmarkStart w:id="424" w:name="_Toc152042344"/>
      <w:bookmarkStart w:id="425" w:name="_Toc246996212"/>
      <w:bookmarkStart w:id="426" w:name="_Toc23930"/>
      <w:bookmarkStart w:id="427" w:name="_Toc296602458"/>
      <w:bookmarkStart w:id="428" w:name="_Toc247085726"/>
      <w:bookmarkStart w:id="429" w:name="_Toc179632586"/>
      <w:bookmarkStart w:id="430" w:name="_Toc246996955"/>
      <w:bookmarkStart w:id="431" w:name="_Toc15058891"/>
      <w:bookmarkStart w:id="432" w:name="_Toc19428"/>
      <w:r>
        <w:rPr>
          <w:rFonts w:hint="eastAsia" w:ascii="宋体" w:hAnsi="宋体" w:cs="宋体"/>
          <w:b/>
          <w:bCs/>
          <w:color w:val="auto"/>
          <w:szCs w:val="21"/>
        </w:rPr>
        <w:t>7.2 中标通知</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pPr>
        <w:spacing w:line="440" w:lineRule="atLeast"/>
        <w:ind w:firstLine="420" w:firstLineChars="200"/>
        <w:rPr>
          <w:rFonts w:ascii="宋体" w:hAnsi="宋体" w:cs="宋体"/>
          <w:color w:val="auto"/>
          <w:szCs w:val="21"/>
        </w:rPr>
      </w:pPr>
      <w:r>
        <w:rPr>
          <w:rFonts w:hint="eastAsia" w:ascii="宋体" w:hAnsi="宋体" w:cs="宋体"/>
          <w:color w:val="auto"/>
          <w:szCs w:val="21"/>
        </w:rPr>
        <w:t>在本章第3.3款规定的投标有效期内，采购人以书面形式向中标人发出中标通知书，同时将中标结果通知未中标的投标人。</w:t>
      </w:r>
    </w:p>
    <w:p>
      <w:pPr>
        <w:spacing w:line="440" w:lineRule="atLeast"/>
        <w:ind w:firstLine="422" w:firstLineChars="200"/>
        <w:outlineLvl w:val="2"/>
        <w:rPr>
          <w:rFonts w:ascii="宋体" w:hAnsi="宋体" w:cs="宋体"/>
          <w:b/>
          <w:bCs/>
          <w:color w:val="auto"/>
          <w:szCs w:val="21"/>
        </w:rPr>
      </w:pPr>
      <w:bookmarkStart w:id="433" w:name="_Toc152042346"/>
      <w:bookmarkStart w:id="434" w:name="_Toc15058893"/>
      <w:bookmarkStart w:id="435" w:name="_Toc152045570"/>
      <w:bookmarkStart w:id="436" w:name="_Toc14106"/>
      <w:bookmarkStart w:id="437" w:name="_Toc144974538"/>
      <w:bookmarkStart w:id="438" w:name="_Toc246996957"/>
      <w:bookmarkStart w:id="439" w:name="_Toc506107308"/>
      <w:bookmarkStart w:id="440" w:name="_Toc296602460"/>
      <w:bookmarkStart w:id="441" w:name="_Toc246996214"/>
      <w:bookmarkStart w:id="442" w:name="_Toc35424930"/>
      <w:bookmarkStart w:id="443" w:name="_Toc324404855"/>
      <w:bookmarkStart w:id="444" w:name="_Toc35947213"/>
      <w:bookmarkStart w:id="445" w:name="_Toc247085728"/>
      <w:bookmarkStart w:id="446" w:name="_Toc179632588"/>
      <w:bookmarkStart w:id="447" w:name="_Toc15423"/>
      <w:bookmarkStart w:id="448" w:name="_Toc634"/>
      <w:bookmarkStart w:id="449" w:name="_Toc35425096"/>
      <w:r>
        <w:rPr>
          <w:rFonts w:hint="eastAsia" w:ascii="宋体" w:hAnsi="宋体" w:cs="宋体"/>
          <w:b/>
          <w:bCs/>
          <w:color w:val="auto"/>
          <w:szCs w:val="21"/>
        </w:rPr>
        <w:t>7.3 签订合同</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pPr>
        <w:wordWrap w:val="0"/>
        <w:spacing w:line="440" w:lineRule="atLeast"/>
        <w:ind w:firstLine="420" w:firstLineChars="200"/>
        <w:rPr>
          <w:rFonts w:ascii="宋体" w:hAnsi="宋体" w:cs="宋体"/>
          <w:bCs/>
          <w:color w:val="auto"/>
          <w:szCs w:val="21"/>
        </w:rPr>
      </w:pPr>
      <w:bookmarkStart w:id="450" w:name="_Toc506107309"/>
      <w:bookmarkStart w:id="451" w:name="_Toc324404856"/>
      <w:bookmarkStart w:id="452" w:name="_Toc15058894"/>
      <w:r>
        <w:rPr>
          <w:rFonts w:hint="eastAsia" w:ascii="宋体" w:hAnsi="宋体" w:cs="宋体"/>
          <w:bCs/>
          <w:color w:val="auto"/>
          <w:szCs w:val="21"/>
        </w:rPr>
        <w:t>7.3.1</w:t>
      </w:r>
      <w:r>
        <w:rPr>
          <w:rFonts w:hint="eastAsia"/>
          <w:color w:val="auto"/>
        </w:rPr>
        <w:t>中标人应在中标通知书发出之日起</w:t>
      </w:r>
      <w:r>
        <w:rPr>
          <w:rFonts w:hint="eastAsia" w:ascii="宋体" w:hAnsi="宋体" w:cs="宋体"/>
          <w:color w:val="auto"/>
        </w:rPr>
        <w:t>7个</w:t>
      </w:r>
      <w:r>
        <w:rPr>
          <w:rFonts w:hint="eastAsia"/>
          <w:color w:val="auto"/>
        </w:rPr>
        <w:t>工作日内，按照交易文件规定和采购人订立书面合同。采购人和中标人不得再行订立背离合同实质性内容的其他协议</w:t>
      </w:r>
      <w:r>
        <w:rPr>
          <w:rFonts w:hint="eastAsia" w:ascii="宋体" w:hAnsi="宋体" w:cs="宋体"/>
          <w:bCs/>
          <w:color w:val="auto"/>
          <w:szCs w:val="21"/>
        </w:rPr>
        <w:t>。中标人无正当理由拒签合同的，采购人取消其中标资格；给采购人造成的损失，采购人有权追偿。</w:t>
      </w:r>
    </w:p>
    <w:p>
      <w:pPr>
        <w:wordWrap w:val="0"/>
        <w:spacing w:line="440" w:lineRule="atLeast"/>
        <w:ind w:firstLine="420" w:firstLineChars="200"/>
        <w:rPr>
          <w:rFonts w:ascii="宋体" w:hAnsi="宋体" w:cs="宋体"/>
          <w:bCs/>
          <w:color w:val="auto"/>
          <w:szCs w:val="21"/>
        </w:rPr>
      </w:pPr>
      <w:r>
        <w:rPr>
          <w:rFonts w:hint="eastAsia" w:ascii="宋体" w:hAnsi="宋体" w:cs="宋体"/>
          <w:bCs/>
          <w:color w:val="auto"/>
          <w:szCs w:val="21"/>
        </w:rPr>
        <w:t>7.3.2 发出中标通知书后，采购人无正当理由拒签合同的，且给中标人造成损失的，还应当赔偿损失。（本条不采用）</w:t>
      </w:r>
    </w:p>
    <w:p>
      <w:pPr>
        <w:pStyle w:val="3"/>
        <w:rPr>
          <w:color w:val="auto"/>
        </w:rPr>
      </w:pPr>
      <w:bookmarkStart w:id="453" w:name="_Toc31120"/>
      <w:bookmarkStart w:id="454" w:name="_Toc35947214"/>
      <w:bookmarkStart w:id="455" w:name="_Toc4635"/>
      <w:bookmarkStart w:id="456" w:name="_Toc23600"/>
      <w:bookmarkStart w:id="457" w:name="_Toc35425097"/>
      <w:bookmarkStart w:id="458" w:name="_Toc35424931"/>
      <w:bookmarkStart w:id="459" w:name="_Toc9177"/>
      <w:r>
        <w:rPr>
          <w:rFonts w:hint="eastAsia"/>
          <w:color w:val="auto"/>
        </w:rPr>
        <w:t>8. 纪律和监督</w:t>
      </w:r>
      <w:bookmarkEnd w:id="450"/>
      <w:bookmarkEnd w:id="451"/>
      <w:bookmarkEnd w:id="452"/>
      <w:bookmarkEnd w:id="453"/>
      <w:bookmarkEnd w:id="454"/>
      <w:bookmarkEnd w:id="455"/>
      <w:bookmarkEnd w:id="456"/>
      <w:bookmarkEnd w:id="457"/>
      <w:bookmarkEnd w:id="458"/>
      <w:bookmarkEnd w:id="459"/>
    </w:p>
    <w:p>
      <w:pPr>
        <w:spacing w:line="440" w:lineRule="atLeast"/>
        <w:ind w:firstLine="422" w:firstLineChars="200"/>
        <w:outlineLvl w:val="2"/>
        <w:rPr>
          <w:rFonts w:ascii="宋体" w:hAnsi="宋体" w:cs="宋体"/>
          <w:b/>
          <w:bCs/>
          <w:color w:val="auto"/>
          <w:szCs w:val="21"/>
        </w:rPr>
      </w:pPr>
      <w:bookmarkStart w:id="460" w:name="_Toc506107310"/>
      <w:bookmarkStart w:id="461" w:name="_Toc179632593"/>
      <w:bookmarkStart w:id="462" w:name="_Toc296590983"/>
      <w:bookmarkStart w:id="463" w:name="_Toc35947215"/>
      <w:bookmarkStart w:id="464" w:name="_Toc35425098"/>
      <w:bookmarkStart w:id="465" w:name="_Toc247085733"/>
      <w:bookmarkStart w:id="466" w:name="_Toc35424932"/>
      <w:bookmarkStart w:id="467" w:name="_Toc152045575"/>
      <w:bookmarkStart w:id="468" w:name="_Toc246996962"/>
      <w:bookmarkStart w:id="469" w:name="_Toc144974543"/>
      <w:bookmarkStart w:id="470" w:name="_Toc324404857"/>
      <w:bookmarkStart w:id="471" w:name="_Toc11235"/>
      <w:bookmarkStart w:id="472" w:name="_Toc296602462"/>
      <w:bookmarkStart w:id="473" w:name="_Toc152042351"/>
      <w:bookmarkStart w:id="474" w:name="_Toc246996219"/>
      <w:bookmarkStart w:id="475" w:name="_Toc15058895"/>
      <w:bookmarkStart w:id="476" w:name="_Toc1964"/>
      <w:bookmarkStart w:id="477" w:name="_Toc13610"/>
      <w:r>
        <w:rPr>
          <w:rFonts w:hint="eastAsia" w:ascii="宋体" w:hAnsi="宋体" w:cs="宋体"/>
          <w:b/>
          <w:bCs/>
          <w:color w:val="auto"/>
          <w:szCs w:val="21"/>
        </w:rPr>
        <w:t>8.1 对采购人的纪律要求</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pPr>
        <w:spacing w:line="440" w:lineRule="atLeast"/>
        <w:ind w:firstLine="420" w:firstLineChars="200"/>
        <w:rPr>
          <w:rFonts w:ascii="宋体" w:hAnsi="宋体" w:cs="宋体"/>
          <w:color w:val="auto"/>
          <w:szCs w:val="21"/>
        </w:rPr>
      </w:pPr>
      <w:r>
        <w:rPr>
          <w:rFonts w:hint="eastAsia" w:ascii="宋体" w:hAnsi="宋体" w:cs="宋体"/>
          <w:color w:val="auto"/>
          <w:szCs w:val="21"/>
        </w:rPr>
        <w:t>采购人不得泄漏招标投标活动中应当保密的情况和资料，不得与投标人串通损害国家利益、社会公共利益或者他人合法权益。</w:t>
      </w:r>
    </w:p>
    <w:p>
      <w:pPr>
        <w:spacing w:line="440" w:lineRule="atLeast"/>
        <w:ind w:firstLine="422" w:firstLineChars="200"/>
        <w:outlineLvl w:val="2"/>
        <w:rPr>
          <w:rFonts w:ascii="宋体" w:hAnsi="宋体" w:cs="宋体"/>
          <w:b/>
          <w:bCs/>
          <w:color w:val="auto"/>
          <w:szCs w:val="21"/>
        </w:rPr>
      </w:pPr>
      <w:bookmarkStart w:id="478" w:name="_Toc17475"/>
      <w:bookmarkStart w:id="479" w:name="_Toc324404858"/>
      <w:bookmarkStart w:id="480" w:name="_Toc17314"/>
      <w:bookmarkStart w:id="481" w:name="_Toc246996963"/>
      <w:bookmarkStart w:id="482" w:name="_Toc152045576"/>
      <w:bookmarkStart w:id="483" w:name="_Toc179632594"/>
      <w:bookmarkStart w:id="484" w:name="_Toc35425099"/>
      <w:bookmarkStart w:id="485" w:name="_Toc246996220"/>
      <w:bookmarkStart w:id="486" w:name="_Toc15058896"/>
      <w:bookmarkStart w:id="487" w:name="_Toc35424933"/>
      <w:bookmarkStart w:id="488" w:name="_Toc506107311"/>
      <w:bookmarkStart w:id="489" w:name="_Toc296602463"/>
      <w:bookmarkStart w:id="490" w:name="_Toc152042352"/>
      <w:bookmarkStart w:id="491" w:name="_Toc144974544"/>
      <w:bookmarkStart w:id="492" w:name="_Toc35947216"/>
      <w:bookmarkStart w:id="493" w:name="_Toc247085734"/>
      <w:bookmarkStart w:id="494" w:name="_Toc19504"/>
      <w:r>
        <w:rPr>
          <w:rFonts w:hint="eastAsia" w:ascii="宋体" w:hAnsi="宋体" w:cs="宋体"/>
          <w:b/>
          <w:bCs/>
          <w:color w:val="auto"/>
          <w:szCs w:val="21"/>
        </w:rPr>
        <w:t>8.2 对投标人的纪律要求</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pPr>
        <w:spacing w:line="440" w:lineRule="atLeast"/>
        <w:ind w:firstLine="420" w:firstLineChars="200"/>
        <w:rPr>
          <w:rFonts w:ascii="宋体" w:hAnsi="宋体" w:cs="宋体"/>
          <w:color w:val="auto"/>
          <w:szCs w:val="21"/>
        </w:rPr>
      </w:pPr>
      <w:r>
        <w:rPr>
          <w:rFonts w:hint="eastAsia" w:ascii="宋体" w:hAnsi="宋体" w:cs="宋体"/>
          <w:color w:val="auto"/>
          <w:szCs w:val="21"/>
        </w:rPr>
        <w:t>投标人不得相互串通投标或者与采购人串通投标，不得向采购人或者评标委员会成员行贿谋取中标，不得以他人名义投标或者以其他方式弄虚作假骗取中标；投标人不得以任何方式干扰、影响评标工作。</w:t>
      </w:r>
    </w:p>
    <w:p>
      <w:pPr>
        <w:spacing w:line="440" w:lineRule="atLeast"/>
        <w:ind w:firstLine="422" w:firstLineChars="200"/>
        <w:outlineLvl w:val="2"/>
        <w:rPr>
          <w:rFonts w:ascii="宋体" w:hAnsi="宋体" w:cs="宋体"/>
          <w:b/>
          <w:bCs/>
          <w:color w:val="auto"/>
          <w:szCs w:val="21"/>
        </w:rPr>
      </w:pPr>
      <w:bookmarkStart w:id="495" w:name="_Toc152045577"/>
      <w:bookmarkStart w:id="496" w:name="_Toc15259"/>
      <w:bookmarkStart w:id="497" w:name="_Toc296602464"/>
      <w:bookmarkStart w:id="498" w:name="_Toc5965"/>
      <w:bookmarkStart w:id="499" w:name="_Toc324404859"/>
      <w:bookmarkStart w:id="500" w:name="_Toc35425100"/>
      <w:bookmarkStart w:id="501" w:name="_Toc246996964"/>
      <w:bookmarkStart w:id="502" w:name="_Toc35424934"/>
      <w:bookmarkStart w:id="503" w:name="_Toc247085735"/>
      <w:bookmarkStart w:id="504" w:name="_Toc179632595"/>
      <w:bookmarkStart w:id="505" w:name="_Toc23747"/>
      <w:bookmarkStart w:id="506" w:name="_Toc152042353"/>
      <w:bookmarkStart w:id="507" w:name="_Toc246996221"/>
      <w:bookmarkStart w:id="508" w:name="_Toc506107312"/>
      <w:bookmarkStart w:id="509" w:name="_Toc15058897"/>
      <w:bookmarkStart w:id="510" w:name="_Toc144974545"/>
      <w:bookmarkStart w:id="511" w:name="_Toc35947217"/>
      <w:r>
        <w:rPr>
          <w:rFonts w:hint="eastAsia" w:ascii="宋体" w:hAnsi="宋体" w:cs="宋体"/>
          <w:b/>
          <w:bCs/>
          <w:color w:val="auto"/>
          <w:szCs w:val="21"/>
        </w:rPr>
        <w:t>8.3 对评标委员会成员的纪律要求</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pPr>
        <w:spacing w:line="440" w:lineRule="atLeast"/>
        <w:ind w:firstLine="420" w:firstLineChars="200"/>
        <w:rPr>
          <w:rFonts w:ascii="宋体" w:hAnsi="宋体" w:cs="宋体"/>
          <w:color w:val="auto"/>
          <w:szCs w:val="21"/>
        </w:rPr>
      </w:pPr>
      <w:r>
        <w:rPr>
          <w:rFonts w:hint="eastAsia" w:ascii="宋体" w:hAnsi="宋体" w:cs="宋体"/>
          <w:color w:val="auto"/>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spacing w:line="440" w:lineRule="atLeast"/>
        <w:ind w:firstLine="422" w:firstLineChars="200"/>
        <w:outlineLvl w:val="2"/>
        <w:rPr>
          <w:rFonts w:ascii="宋体" w:hAnsi="宋体" w:cs="宋体"/>
          <w:b/>
          <w:bCs/>
          <w:color w:val="auto"/>
          <w:szCs w:val="21"/>
        </w:rPr>
      </w:pPr>
      <w:bookmarkStart w:id="512" w:name="_Toc35424935"/>
      <w:bookmarkStart w:id="513" w:name="_Toc246996965"/>
      <w:bookmarkStart w:id="514" w:name="_Toc15058898"/>
      <w:bookmarkStart w:id="515" w:name="_Toc24693"/>
      <w:bookmarkStart w:id="516" w:name="_Toc179632596"/>
      <w:bookmarkStart w:id="517" w:name="_Toc247085736"/>
      <w:bookmarkStart w:id="518" w:name="_Toc32603"/>
      <w:bookmarkStart w:id="519" w:name="_Toc35425101"/>
      <w:bookmarkStart w:id="520" w:name="_Toc31849"/>
      <w:bookmarkStart w:id="521" w:name="_Toc246996222"/>
      <w:bookmarkStart w:id="522" w:name="_Toc152045578"/>
      <w:bookmarkStart w:id="523" w:name="_Toc296602465"/>
      <w:bookmarkStart w:id="524" w:name="_Toc324404860"/>
      <w:bookmarkStart w:id="525" w:name="_Toc152042354"/>
      <w:bookmarkStart w:id="526" w:name="_Toc506107313"/>
      <w:bookmarkStart w:id="527" w:name="_Toc35947218"/>
      <w:bookmarkStart w:id="528" w:name="_Toc144974546"/>
      <w:r>
        <w:rPr>
          <w:rFonts w:hint="eastAsia" w:ascii="宋体" w:hAnsi="宋体" w:cs="宋体"/>
          <w:b/>
          <w:bCs/>
          <w:color w:val="auto"/>
          <w:szCs w:val="21"/>
        </w:rPr>
        <w:t>8.4 对与评标活动有关的工作人员的纪律要求</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pPr>
        <w:spacing w:line="440" w:lineRule="atLeast"/>
        <w:ind w:firstLine="420" w:firstLineChars="200"/>
        <w:rPr>
          <w:rFonts w:ascii="宋体" w:hAnsi="宋体" w:cs="宋体"/>
          <w:color w:val="auto"/>
          <w:szCs w:val="21"/>
        </w:rPr>
      </w:pPr>
      <w:bookmarkStart w:id="529" w:name="_Toc152042355"/>
      <w:r>
        <w:rPr>
          <w:rFonts w:hint="eastAsia" w:ascii="宋体" w:hAnsi="宋体" w:cs="宋体"/>
          <w:color w:val="auto"/>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529"/>
    </w:p>
    <w:p>
      <w:pPr>
        <w:spacing w:line="440" w:lineRule="atLeast"/>
        <w:ind w:firstLine="422" w:firstLineChars="200"/>
        <w:outlineLvl w:val="2"/>
        <w:rPr>
          <w:rFonts w:ascii="宋体" w:hAnsi="宋体" w:cs="宋体"/>
          <w:b/>
          <w:bCs/>
          <w:color w:val="auto"/>
          <w:szCs w:val="21"/>
        </w:rPr>
      </w:pPr>
      <w:bookmarkStart w:id="530" w:name="_Toc246996966"/>
      <w:bookmarkStart w:id="531" w:name="_Toc35424936"/>
      <w:bookmarkStart w:id="532" w:name="_Toc179632597"/>
      <w:bookmarkStart w:id="533" w:name="_Toc15058899"/>
      <w:bookmarkStart w:id="534" w:name="_Toc152045579"/>
      <w:bookmarkStart w:id="535" w:name="_Toc12207"/>
      <w:bookmarkStart w:id="536" w:name="_Toc35425102"/>
      <w:bookmarkStart w:id="537" w:name="_Toc22416"/>
      <w:bookmarkStart w:id="538" w:name="_Toc35947219"/>
      <w:bookmarkStart w:id="539" w:name="_Toc506107314"/>
      <w:bookmarkStart w:id="540" w:name="_Toc324404861"/>
      <w:bookmarkStart w:id="541" w:name="_Toc296602466"/>
      <w:bookmarkStart w:id="542" w:name="_Toc246996223"/>
      <w:bookmarkStart w:id="543" w:name="_Toc152042356"/>
      <w:bookmarkStart w:id="544" w:name="_Toc2154"/>
      <w:bookmarkStart w:id="545" w:name="_Toc247085737"/>
      <w:r>
        <w:rPr>
          <w:rFonts w:hint="eastAsia" w:ascii="宋体" w:hAnsi="宋体" w:cs="宋体"/>
          <w:b/>
          <w:bCs/>
          <w:color w:val="auto"/>
          <w:szCs w:val="21"/>
        </w:rPr>
        <w:t>8.5 投诉</w:t>
      </w:r>
      <w:bookmarkEnd w:id="528"/>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pPr>
        <w:spacing w:line="440" w:lineRule="atLeast"/>
        <w:ind w:firstLine="420" w:firstLineChars="200"/>
        <w:rPr>
          <w:rFonts w:ascii="宋体" w:hAnsi="宋体" w:cs="宋体"/>
          <w:color w:val="auto"/>
          <w:szCs w:val="21"/>
        </w:rPr>
      </w:pPr>
      <w:r>
        <w:rPr>
          <w:rFonts w:hint="eastAsia" w:ascii="宋体" w:hAnsi="宋体" w:cs="宋体"/>
          <w:color w:val="auto"/>
          <w:szCs w:val="21"/>
        </w:rPr>
        <w:t>8.5.1投标人和其他利害关系人认为本次招标活动违反法律、法规和规章规定的，有权向有关行政监督部门投诉。投诉应当有明确的请求和必要的证明材料。</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8.5.2投标人和其他利害关系人对评标结果等事项投诉的，应当在开标期间或公示期间，先向采购人提出异议。</w:t>
      </w:r>
      <w:r>
        <w:rPr>
          <w:rFonts w:hint="eastAsia" w:ascii="宋体" w:hAnsi="宋体" w:cs="宋体"/>
          <w:b/>
          <w:bCs/>
          <w:color w:val="auto"/>
          <w:szCs w:val="21"/>
        </w:rPr>
        <w:t>注：一份质疑（异议）函只能针对一个项目提出质疑（异议），且针对同一招标采购程序环节的质疑（异议）应当一次性提出。</w:t>
      </w:r>
    </w:p>
    <w:p>
      <w:pPr>
        <w:spacing w:line="440" w:lineRule="atLeast"/>
        <w:ind w:firstLine="422" w:firstLineChars="200"/>
        <w:outlineLvl w:val="2"/>
        <w:rPr>
          <w:rFonts w:ascii="宋体" w:hAnsi="宋体" w:cs="宋体"/>
          <w:b/>
          <w:bCs/>
          <w:color w:val="auto"/>
          <w:szCs w:val="21"/>
        </w:rPr>
      </w:pPr>
      <w:bookmarkStart w:id="546" w:name="_Toc15058900"/>
      <w:bookmarkStart w:id="547" w:name="_Toc246996224"/>
      <w:bookmarkStart w:id="548" w:name="_Toc179632598"/>
      <w:bookmarkStart w:id="549" w:name="_Toc24040"/>
      <w:bookmarkStart w:id="550" w:name="_Toc35425103"/>
      <w:bookmarkStart w:id="551" w:name="_Toc296"/>
      <w:bookmarkStart w:id="552" w:name="_Toc18012"/>
      <w:bookmarkStart w:id="553" w:name="_Toc247085738"/>
      <w:bookmarkStart w:id="554" w:name="_Toc152042357"/>
      <w:bookmarkStart w:id="555" w:name="_Toc152045580"/>
      <w:bookmarkStart w:id="556" w:name="_Toc506107315"/>
      <w:bookmarkStart w:id="557" w:name="_Toc324404862"/>
      <w:bookmarkStart w:id="558" w:name="_Toc23899"/>
      <w:bookmarkStart w:id="559" w:name="_Toc35424937"/>
      <w:bookmarkStart w:id="560" w:name="_Toc246996967"/>
      <w:bookmarkStart w:id="561" w:name="_Toc144974547"/>
      <w:bookmarkStart w:id="562" w:name="_Toc35947220"/>
      <w:r>
        <w:rPr>
          <w:rFonts w:hint="eastAsia" w:ascii="宋体" w:hAnsi="宋体" w:cs="宋体"/>
          <w:b/>
          <w:bCs/>
          <w:color w:val="auto"/>
          <w:szCs w:val="21"/>
        </w:rPr>
        <w:t>9.需要补充的其他内容</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pPr>
        <w:spacing w:line="440" w:lineRule="atLeast"/>
        <w:ind w:firstLine="420" w:firstLineChars="200"/>
        <w:rPr>
          <w:rFonts w:ascii="宋体" w:hAnsi="宋体" w:cs="宋体"/>
          <w:color w:val="auto"/>
          <w:szCs w:val="21"/>
        </w:rPr>
      </w:pPr>
      <w:bookmarkStart w:id="563" w:name="_Toc15058901"/>
      <w:r>
        <w:rPr>
          <w:rFonts w:hint="eastAsia" w:ascii="宋体" w:hAnsi="宋体" w:cs="宋体"/>
          <w:color w:val="auto"/>
          <w:szCs w:val="21"/>
        </w:rPr>
        <w:t>需要补充的其他内容：见投标人须知前附表。</w:t>
      </w:r>
      <w:bookmarkEnd w:id="563"/>
    </w:p>
    <w:p>
      <w:pPr>
        <w:pStyle w:val="17"/>
        <w:rPr>
          <w:rFonts w:ascii="宋体" w:hAnsi="宋体" w:cs="宋体"/>
          <w:color w:val="auto"/>
          <w:szCs w:val="21"/>
        </w:rPr>
      </w:pPr>
    </w:p>
    <w:p>
      <w:pPr>
        <w:pStyle w:val="17"/>
        <w:rPr>
          <w:rFonts w:ascii="宋体" w:hAnsi="宋体" w:cs="宋体"/>
          <w:color w:val="auto"/>
          <w:szCs w:val="21"/>
        </w:rPr>
      </w:pPr>
    </w:p>
    <w:p>
      <w:pPr>
        <w:pStyle w:val="17"/>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pStyle w:val="17"/>
        <w:rPr>
          <w:rFonts w:ascii="宋体" w:hAnsi="宋体" w:cs="宋体"/>
          <w:color w:val="auto"/>
          <w:szCs w:val="21"/>
        </w:rPr>
      </w:pPr>
    </w:p>
    <w:p>
      <w:pPr>
        <w:pStyle w:val="2"/>
        <w:rPr>
          <w:color w:val="auto"/>
          <w:sz w:val="28"/>
          <w:szCs w:val="28"/>
        </w:rPr>
      </w:pPr>
      <w:bookmarkStart w:id="564" w:name="_Toc27356"/>
      <w:bookmarkStart w:id="565" w:name="_Toc9676"/>
      <w:bookmarkStart w:id="566" w:name="_Toc1436"/>
      <w:bookmarkStart w:id="567" w:name="_Toc6133"/>
      <w:r>
        <w:rPr>
          <w:rFonts w:hint="eastAsia"/>
          <w:color w:val="auto"/>
          <w:sz w:val="28"/>
          <w:szCs w:val="28"/>
        </w:rPr>
        <w:t>第二章  评标办法</w:t>
      </w:r>
      <w:bookmarkEnd w:id="564"/>
      <w:bookmarkEnd w:id="565"/>
      <w:bookmarkEnd w:id="566"/>
      <w:bookmarkEnd w:id="567"/>
    </w:p>
    <w:bookmarkEnd w:id="47"/>
    <w:p>
      <w:pPr>
        <w:spacing w:line="440" w:lineRule="exact"/>
        <w:jc w:val="center"/>
        <w:outlineLvl w:val="1"/>
        <w:rPr>
          <w:rFonts w:ascii="宋体"/>
          <w:b/>
          <w:color w:val="auto"/>
          <w:sz w:val="28"/>
          <w:szCs w:val="28"/>
        </w:rPr>
      </w:pPr>
      <w:bookmarkStart w:id="568" w:name="_Toc58430317"/>
      <w:bookmarkStart w:id="569" w:name="_Toc449028877"/>
      <w:bookmarkStart w:id="570" w:name="_Toc362983801"/>
      <w:r>
        <w:rPr>
          <w:rFonts w:hint="eastAsia" w:ascii="宋体"/>
          <w:b/>
          <w:color w:val="auto"/>
          <w:sz w:val="28"/>
          <w:szCs w:val="28"/>
        </w:rPr>
        <w:t>一、总则</w:t>
      </w:r>
      <w:bookmarkEnd w:id="568"/>
      <w:bookmarkEnd w:id="569"/>
      <w:bookmarkEnd w:id="570"/>
    </w:p>
    <w:p>
      <w:pPr>
        <w:spacing w:line="440" w:lineRule="exact"/>
        <w:ind w:firstLine="316" w:firstLineChars="150"/>
        <w:jc w:val="left"/>
        <w:rPr>
          <w:rFonts w:ascii="宋体" w:hAnsi="宋体" w:cs="宋体"/>
          <w:b/>
          <w:color w:val="auto"/>
          <w:szCs w:val="21"/>
        </w:rPr>
      </w:pPr>
      <w:r>
        <w:rPr>
          <w:rFonts w:hint="eastAsia" w:ascii="宋体" w:hAnsi="宋体" w:cs="宋体"/>
          <w:b/>
          <w:color w:val="auto"/>
          <w:szCs w:val="21"/>
        </w:rPr>
        <w:t xml:space="preserve"> 1. 本次评标采用综合评分法</w:t>
      </w:r>
    </w:p>
    <w:p>
      <w:pPr>
        <w:spacing w:line="400" w:lineRule="exact"/>
        <w:ind w:firstLine="420" w:firstLineChars="200"/>
        <w:jc w:val="left"/>
        <w:rPr>
          <w:rFonts w:ascii="宋体" w:hAnsi="宋体" w:cs="宋体"/>
          <w:color w:val="auto"/>
          <w:sz w:val="24"/>
        </w:rPr>
      </w:pPr>
      <w:r>
        <w:rPr>
          <w:rFonts w:hint="eastAsia" w:ascii="宋体" w:hAnsi="宋体" w:cs="宋体"/>
          <w:color w:val="auto"/>
          <w:szCs w:val="21"/>
        </w:rPr>
        <w:t>1.1综合评分法是指投标文件满足招标文件全部实质性要求且按照评审因素的量化指标评审总得分从高到低的投标人为中标候选人的评标方法。</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 xml:space="preserve"> 1.2综合评分法一般适用于较为复杂、评价指标难以量化且价格为非主要因素的非标准定制商品和非通用服务项目的项目评审。</w:t>
      </w:r>
    </w:p>
    <w:p>
      <w:pPr>
        <w:spacing w:line="440" w:lineRule="exact"/>
        <w:ind w:firstLine="422" w:firstLineChars="200"/>
        <w:rPr>
          <w:rFonts w:ascii="宋体" w:hAnsi="宋体" w:cs="宋体"/>
          <w:b/>
          <w:color w:val="auto"/>
          <w:szCs w:val="21"/>
        </w:rPr>
      </w:pPr>
      <w:r>
        <w:rPr>
          <w:rFonts w:hint="eastAsia" w:ascii="宋体" w:hAnsi="宋体" w:cs="宋体"/>
          <w:b/>
          <w:color w:val="auto"/>
          <w:szCs w:val="21"/>
        </w:rPr>
        <w:t>2．评标程序</w:t>
      </w:r>
    </w:p>
    <w:p>
      <w:pPr>
        <w:spacing w:line="440" w:lineRule="exact"/>
        <w:ind w:firstLine="420" w:firstLineChars="200"/>
        <w:rPr>
          <w:rFonts w:ascii="宋体" w:hAnsi="宋体" w:cs="宋体"/>
          <w:color w:val="auto"/>
          <w:szCs w:val="21"/>
        </w:rPr>
      </w:pPr>
      <w:r>
        <w:rPr>
          <w:rFonts w:hint="eastAsia" w:ascii="宋体" w:hAnsi="宋体" w:cs="宋体"/>
          <w:color w:val="auto"/>
          <w:szCs w:val="21"/>
        </w:rPr>
        <w:t>2.1投标文件的初审</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 xml:space="preserve">2.1.1资格性检查。依据法律法规和招标文件的规定，对投标文件中的资格证明进行审查，以确定投标人是否具备投标资格。 </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2.1.2符合性检查。依据招标文件的规定，从投标文件的有效性、完整性和对招标文件的响应程度进行审查，以确定投标人是否对招标文件的实质性要求作出响应。</w:t>
      </w:r>
    </w:p>
    <w:p>
      <w:pPr>
        <w:spacing w:line="440" w:lineRule="exact"/>
        <w:ind w:firstLine="420" w:firstLineChars="200"/>
        <w:rPr>
          <w:rFonts w:ascii="宋体" w:hAnsi="宋体" w:cs="宋体"/>
          <w:color w:val="auto"/>
          <w:szCs w:val="21"/>
        </w:rPr>
      </w:pPr>
      <w:r>
        <w:rPr>
          <w:rFonts w:hint="eastAsia" w:ascii="宋体" w:hAnsi="宋体" w:cs="宋体"/>
          <w:color w:val="auto"/>
          <w:szCs w:val="21"/>
        </w:rPr>
        <w:t>2.2投标文件的澄清</w:t>
      </w:r>
    </w:p>
    <w:p>
      <w:pPr>
        <w:spacing w:line="440" w:lineRule="exact"/>
        <w:ind w:firstLine="420" w:firstLineChars="200"/>
        <w:rPr>
          <w:rFonts w:ascii="宋体" w:hAnsi="宋体" w:cs="宋体"/>
          <w:color w:val="auto"/>
          <w:szCs w:val="21"/>
        </w:rPr>
      </w:pPr>
      <w:r>
        <w:rPr>
          <w:rFonts w:hint="eastAsia" w:ascii="宋体" w:hAnsi="宋体" w:cs="宋体"/>
          <w:color w:val="auto"/>
          <w:szCs w:val="21"/>
        </w:rPr>
        <w:t>2.2.1在评标过程中，评标委员会认为需要，在见证人员在场的情况下，可要求投标单位对投标文件中的有关问题进行澄清或提供补充说明及有关资料，投标单位应做出书面答复。书面答复中不得变更价格、供货期、自报质量等实质性内容。</w:t>
      </w:r>
    </w:p>
    <w:p>
      <w:pPr>
        <w:spacing w:line="440" w:lineRule="exact"/>
        <w:ind w:firstLine="420" w:firstLineChars="200"/>
        <w:rPr>
          <w:rFonts w:ascii="宋体" w:hAnsi="宋体" w:cs="宋体"/>
          <w:color w:val="auto"/>
          <w:szCs w:val="21"/>
        </w:rPr>
      </w:pPr>
      <w:r>
        <w:rPr>
          <w:rFonts w:hint="eastAsia" w:ascii="宋体" w:hAnsi="宋体" w:cs="宋体"/>
          <w:color w:val="auto"/>
          <w:szCs w:val="21"/>
        </w:rPr>
        <w:t>2.2.2书面答复须经投标单位法定代理人或其授权委托代理人的签字或印鉴，签字或盖印鉴的书面答复将视为投标文件的组成部分。投标截止时间后，投标人对投标报价或其它实质性内容修正的函件和增加的任何优惠条件，一律不得作为评标、定标的依据。</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2.2.3  采购人不接受投标单位主动提出的澄清。</w:t>
      </w:r>
    </w:p>
    <w:p>
      <w:pPr>
        <w:spacing w:line="440" w:lineRule="exact"/>
        <w:ind w:firstLine="420" w:firstLineChars="200"/>
        <w:rPr>
          <w:rFonts w:ascii="宋体" w:hAnsi="宋体" w:cs="宋体"/>
          <w:color w:val="auto"/>
          <w:szCs w:val="21"/>
        </w:rPr>
      </w:pPr>
      <w:r>
        <w:rPr>
          <w:rFonts w:hint="eastAsia" w:ascii="宋体" w:hAnsi="宋体" w:cs="宋体"/>
          <w:color w:val="auto"/>
          <w:szCs w:val="21"/>
        </w:rPr>
        <w:t>2.3比较与评价</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 xml:space="preserve">2．3.1按招标文件中规定的评标方法和标准，对资格性检查和符合性检查合格的投标文件进行资信、商务和技术评估，综合比较与评价。 </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2.4推荐中标候选人名单</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2.4.1中标候选人数量应当根据采购需要确定，但必须按顺序排列中标候选人。</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2.5在投标文件的审查、澄清、评价和比较以及授予合同过程中，投标单位对招标单位和评标委员会成员施加影响的任何行为，都将导致取消其中标资格。</w:t>
      </w:r>
    </w:p>
    <w:p>
      <w:pPr>
        <w:spacing w:line="440" w:lineRule="exact"/>
        <w:ind w:firstLine="562" w:firstLineChars="200"/>
        <w:jc w:val="left"/>
        <w:rPr>
          <w:rFonts w:ascii="宋体"/>
          <w:b/>
          <w:color w:val="auto"/>
          <w:sz w:val="28"/>
          <w:szCs w:val="28"/>
        </w:rPr>
      </w:pPr>
    </w:p>
    <w:p>
      <w:pPr>
        <w:jc w:val="center"/>
        <w:outlineLvl w:val="1"/>
        <w:rPr>
          <w:rFonts w:ascii="宋体"/>
          <w:b/>
          <w:color w:val="auto"/>
          <w:sz w:val="28"/>
          <w:szCs w:val="28"/>
        </w:rPr>
      </w:pPr>
      <w:bookmarkStart w:id="571" w:name="_Toc17428"/>
      <w:bookmarkStart w:id="572" w:name="_Toc29031"/>
      <w:bookmarkStart w:id="573" w:name="_Toc31035"/>
    </w:p>
    <w:p>
      <w:pPr>
        <w:jc w:val="center"/>
        <w:outlineLvl w:val="1"/>
        <w:rPr>
          <w:rFonts w:ascii="宋体"/>
          <w:b/>
          <w:color w:val="auto"/>
          <w:sz w:val="28"/>
          <w:szCs w:val="28"/>
        </w:rPr>
      </w:pPr>
      <w:r>
        <w:rPr>
          <w:rFonts w:hint="eastAsia" w:ascii="宋体"/>
          <w:b/>
          <w:color w:val="auto"/>
          <w:sz w:val="28"/>
          <w:szCs w:val="28"/>
        </w:rPr>
        <w:t>二  投标文件初审</w:t>
      </w:r>
      <w:bookmarkEnd w:id="571"/>
      <w:bookmarkEnd w:id="572"/>
      <w:bookmarkEnd w:id="573"/>
    </w:p>
    <w:p>
      <w:pPr>
        <w:spacing w:line="400" w:lineRule="exact"/>
        <w:ind w:firstLine="310" w:firstLineChars="147"/>
        <w:rPr>
          <w:rFonts w:ascii="宋体"/>
          <w:b/>
          <w:color w:val="auto"/>
          <w:szCs w:val="21"/>
        </w:rPr>
      </w:pPr>
      <w:r>
        <w:rPr>
          <w:rFonts w:hint="eastAsia" w:ascii="宋体"/>
          <w:b/>
          <w:color w:val="auto"/>
          <w:szCs w:val="21"/>
        </w:rPr>
        <w:t>3.资格性审查:</w:t>
      </w:r>
    </w:p>
    <w:p>
      <w:pPr>
        <w:spacing w:line="400" w:lineRule="exact"/>
        <w:ind w:firstLine="308" w:firstLineChars="147"/>
        <w:rPr>
          <w:color w:val="auto"/>
          <w:szCs w:val="21"/>
        </w:rPr>
      </w:pPr>
      <w:r>
        <w:rPr>
          <w:rFonts w:hint="eastAsia" w:ascii="宋体"/>
          <w:color w:val="auto"/>
          <w:szCs w:val="21"/>
        </w:rPr>
        <w:t>3.1</w:t>
      </w:r>
      <w:r>
        <w:rPr>
          <w:rFonts w:hint="eastAsia"/>
          <w:color w:val="auto"/>
          <w:szCs w:val="21"/>
        </w:rPr>
        <w:t>评审细则</w:t>
      </w:r>
    </w:p>
    <w:tbl>
      <w:tblPr>
        <w:tblStyle w:val="51"/>
        <w:tblW w:w="9349" w:type="dxa"/>
        <w:tblInd w:w="-4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527"/>
        <w:gridCol w:w="3008"/>
        <w:gridCol w:w="3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85" w:type="dxa"/>
            <w:vAlign w:val="center"/>
          </w:tcPr>
          <w:p>
            <w:pPr>
              <w:spacing w:line="320" w:lineRule="exact"/>
              <w:jc w:val="center"/>
              <w:rPr>
                <w:rFonts w:ascii="宋体" w:hAnsi="宋体" w:cs="宋体"/>
                <w:color w:val="auto"/>
                <w:szCs w:val="21"/>
              </w:rPr>
            </w:pPr>
            <w:r>
              <w:rPr>
                <w:rFonts w:hint="eastAsia" w:ascii="宋体" w:hAnsi="宋体" w:cs="宋体"/>
                <w:color w:val="auto"/>
                <w:szCs w:val="21"/>
              </w:rPr>
              <w:t>序号</w:t>
            </w:r>
          </w:p>
        </w:tc>
        <w:tc>
          <w:tcPr>
            <w:tcW w:w="4535" w:type="dxa"/>
            <w:gridSpan w:val="2"/>
            <w:vAlign w:val="center"/>
          </w:tcPr>
          <w:p>
            <w:pPr>
              <w:spacing w:line="320" w:lineRule="exact"/>
              <w:jc w:val="center"/>
              <w:rPr>
                <w:rFonts w:ascii="宋体" w:hAnsi="宋体" w:cs="宋体"/>
                <w:color w:val="auto"/>
                <w:szCs w:val="21"/>
              </w:rPr>
            </w:pPr>
            <w:r>
              <w:rPr>
                <w:rFonts w:hint="eastAsia" w:ascii="宋体" w:hAnsi="宋体" w:cs="宋体"/>
                <w:color w:val="auto"/>
                <w:szCs w:val="21"/>
              </w:rPr>
              <w:t>评审因素</w:t>
            </w:r>
          </w:p>
        </w:tc>
        <w:tc>
          <w:tcPr>
            <w:tcW w:w="3929" w:type="dxa"/>
            <w:vAlign w:val="center"/>
          </w:tcPr>
          <w:p>
            <w:pPr>
              <w:spacing w:line="320" w:lineRule="exact"/>
              <w:jc w:val="left"/>
              <w:rPr>
                <w:rFonts w:ascii="宋体" w:hAnsi="宋体" w:cs="宋体"/>
                <w:color w:val="auto"/>
                <w:szCs w:val="21"/>
              </w:rPr>
            </w:pPr>
            <w:r>
              <w:rPr>
                <w:rFonts w:hint="eastAsia" w:ascii="宋体" w:hAnsi="宋体" w:cs="宋体"/>
                <w:color w:val="auto"/>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885" w:type="dxa"/>
            <w:vMerge w:val="restart"/>
            <w:vAlign w:val="center"/>
          </w:tcPr>
          <w:p>
            <w:pPr>
              <w:spacing w:line="320" w:lineRule="exact"/>
              <w:jc w:val="center"/>
              <w:rPr>
                <w:rFonts w:ascii="宋体" w:hAnsi="宋体" w:cs="宋体"/>
                <w:color w:val="auto"/>
                <w:szCs w:val="21"/>
              </w:rPr>
            </w:pPr>
            <w:r>
              <w:rPr>
                <w:rFonts w:hint="eastAsia" w:ascii="宋体" w:hAnsi="宋体" w:cs="宋体"/>
                <w:color w:val="auto"/>
                <w:szCs w:val="21"/>
              </w:rPr>
              <w:t>1</w:t>
            </w:r>
          </w:p>
        </w:tc>
        <w:tc>
          <w:tcPr>
            <w:tcW w:w="1527" w:type="dxa"/>
            <w:vMerge w:val="restart"/>
            <w:vAlign w:val="center"/>
          </w:tcPr>
          <w:p>
            <w:pPr>
              <w:spacing w:line="320" w:lineRule="exact"/>
              <w:jc w:val="center"/>
              <w:rPr>
                <w:rFonts w:ascii="宋体" w:hAnsi="宋体" w:cs="宋体"/>
                <w:color w:val="auto"/>
                <w:szCs w:val="21"/>
              </w:rPr>
            </w:pPr>
            <w:r>
              <w:rPr>
                <w:rFonts w:hint="eastAsia" w:ascii="宋体" w:hAnsi="宋体" w:cs="宋体"/>
                <w:color w:val="auto"/>
                <w:szCs w:val="21"/>
              </w:rPr>
              <w:t>重要要求</w:t>
            </w:r>
          </w:p>
        </w:tc>
        <w:tc>
          <w:tcPr>
            <w:tcW w:w="3008" w:type="dxa"/>
            <w:vAlign w:val="center"/>
          </w:tcPr>
          <w:p>
            <w:pPr>
              <w:spacing w:line="320" w:lineRule="exact"/>
              <w:rPr>
                <w:rFonts w:ascii="宋体" w:hAnsi="宋体" w:cs="宋体"/>
                <w:color w:val="auto"/>
                <w:szCs w:val="21"/>
              </w:rPr>
            </w:pPr>
            <w:r>
              <w:rPr>
                <w:rFonts w:hint="eastAsia" w:ascii="宋体" w:hAnsi="宋体" w:cs="宋体"/>
                <w:color w:val="auto"/>
                <w:szCs w:val="21"/>
              </w:rPr>
              <w:t>（1）法定代表人身份证明和本人有效身份证(或法定代表人授权委托书和委托代理人有效身份证)</w:t>
            </w:r>
          </w:p>
        </w:tc>
        <w:tc>
          <w:tcPr>
            <w:tcW w:w="3929" w:type="dxa"/>
            <w:vAlign w:val="center"/>
          </w:tcPr>
          <w:p>
            <w:pPr>
              <w:spacing w:line="320" w:lineRule="exact"/>
              <w:jc w:val="left"/>
              <w:rPr>
                <w:rFonts w:ascii="宋体" w:hAnsi="宋体" w:cs="宋体"/>
                <w:b/>
                <w:color w:val="auto"/>
                <w:szCs w:val="21"/>
              </w:rPr>
            </w:pPr>
            <w:r>
              <w:rPr>
                <w:rFonts w:hint="eastAsia" w:ascii="宋体" w:hAnsi="宋体" w:cs="宋体"/>
                <w:b/>
                <w:color w:val="auto"/>
                <w:szCs w:val="21"/>
              </w:rPr>
              <w:t>法定代表人或其委托代理人携带身份证原件至开标现场（手持或密封均视为携带）。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85" w:type="dxa"/>
            <w:vMerge w:val="continue"/>
            <w:vAlign w:val="center"/>
          </w:tcPr>
          <w:p>
            <w:pPr>
              <w:spacing w:line="320" w:lineRule="exact"/>
              <w:jc w:val="center"/>
              <w:rPr>
                <w:rFonts w:ascii="宋体" w:hAnsi="宋体" w:cs="宋体"/>
                <w:color w:val="auto"/>
                <w:szCs w:val="21"/>
              </w:rPr>
            </w:pPr>
          </w:p>
        </w:tc>
        <w:tc>
          <w:tcPr>
            <w:tcW w:w="1527" w:type="dxa"/>
            <w:vMerge w:val="continue"/>
            <w:vAlign w:val="center"/>
          </w:tcPr>
          <w:p>
            <w:pPr>
              <w:spacing w:line="320" w:lineRule="exact"/>
              <w:jc w:val="center"/>
              <w:rPr>
                <w:rFonts w:ascii="宋体" w:hAnsi="宋体" w:cs="宋体"/>
                <w:color w:val="auto"/>
                <w:szCs w:val="21"/>
              </w:rPr>
            </w:pPr>
          </w:p>
        </w:tc>
        <w:tc>
          <w:tcPr>
            <w:tcW w:w="3008" w:type="dxa"/>
            <w:vAlign w:val="center"/>
          </w:tcPr>
          <w:p>
            <w:pPr>
              <w:spacing w:line="320" w:lineRule="exact"/>
              <w:rPr>
                <w:rFonts w:ascii="宋体" w:hAnsi="宋体" w:cs="宋体"/>
                <w:color w:val="auto"/>
                <w:szCs w:val="21"/>
              </w:rPr>
            </w:pPr>
            <w:r>
              <w:rPr>
                <w:rFonts w:hint="eastAsia" w:ascii="宋体" w:hAnsi="宋体" w:cs="宋体"/>
                <w:color w:val="auto"/>
                <w:szCs w:val="21"/>
              </w:rPr>
              <w:t>（2）保证金缴纳情况</w:t>
            </w:r>
          </w:p>
        </w:tc>
        <w:tc>
          <w:tcPr>
            <w:tcW w:w="3929" w:type="dxa"/>
            <w:vAlign w:val="center"/>
          </w:tcPr>
          <w:p>
            <w:pPr>
              <w:spacing w:line="320" w:lineRule="exact"/>
              <w:jc w:val="left"/>
              <w:rPr>
                <w:rFonts w:ascii="宋体" w:hAnsi="宋体" w:cs="宋体"/>
                <w:color w:val="auto"/>
                <w:szCs w:val="21"/>
              </w:rPr>
            </w:pPr>
            <w:r>
              <w:rPr>
                <w:rFonts w:hint="eastAsia" w:ascii="宋体" w:hAnsi="宋体" w:cs="宋体"/>
                <w:color w:val="auto"/>
                <w:szCs w:val="21"/>
              </w:rPr>
              <w:t>本项目不要求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885" w:type="dxa"/>
            <w:vMerge w:val="restart"/>
            <w:vAlign w:val="center"/>
          </w:tcPr>
          <w:p>
            <w:pPr>
              <w:spacing w:line="320" w:lineRule="exact"/>
              <w:jc w:val="center"/>
              <w:rPr>
                <w:rFonts w:ascii="宋体" w:hAnsi="宋体" w:cs="宋体"/>
                <w:color w:val="auto"/>
                <w:szCs w:val="21"/>
              </w:rPr>
            </w:pPr>
            <w:r>
              <w:rPr>
                <w:rFonts w:hint="eastAsia" w:ascii="宋体" w:hAnsi="宋体" w:cs="宋体"/>
                <w:color w:val="auto"/>
                <w:szCs w:val="21"/>
              </w:rPr>
              <w:t>2</w:t>
            </w:r>
          </w:p>
        </w:tc>
        <w:tc>
          <w:tcPr>
            <w:tcW w:w="1527" w:type="dxa"/>
            <w:vMerge w:val="restart"/>
            <w:vAlign w:val="center"/>
          </w:tcPr>
          <w:p>
            <w:pPr>
              <w:spacing w:line="320" w:lineRule="exact"/>
              <w:rPr>
                <w:rFonts w:ascii="宋体" w:hAnsi="宋体" w:cs="宋体"/>
                <w:color w:val="auto"/>
                <w:szCs w:val="21"/>
              </w:rPr>
            </w:pPr>
            <w:r>
              <w:rPr>
                <w:rFonts w:hint="eastAsia" w:ascii="宋体" w:hAnsi="宋体" w:cs="宋体"/>
                <w:color w:val="auto"/>
                <w:szCs w:val="21"/>
              </w:rPr>
              <w:t>投标人应符合的基本资格条件</w:t>
            </w:r>
          </w:p>
        </w:tc>
        <w:tc>
          <w:tcPr>
            <w:tcW w:w="3008" w:type="dxa"/>
            <w:vAlign w:val="center"/>
          </w:tcPr>
          <w:p>
            <w:pPr>
              <w:spacing w:line="320" w:lineRule="exact"/>
              <w:rPr>
                <w:rFonts w:ascii="宋体" w:hAnsi="宋体" w:cs="宋体"/>
                <w:color w:val="auto"/>
                <w:szCs w:val="21"/>
              </w:rPr>
            </w:pPr>
            <w:r>
              <w:rPr>
                <w:rFonts w:hint="eastAsia" w:ascii="宋体" w:hAnsi="宋体" w:cs="宋体"/>
                <w:color w:val="auto"/>
                <w:szCs w:val="21"/>
              </w:rPr>
              <w:t>（3）具有独立承担民事责任的能力</w:t>
            </w:r>
          </w:p>
        </w:tc>
        <w:tc>
          <w:tcPr>
            <w:tcW w:w="3929" w:type="dxa"/>
            <w:vAlign w:val="center"/>
          </w:tcPr>
          <w:p>
            <w:pPr>
              <w:spacing w:line="320" w:lineRule="exact"/>
              <w:jc w:val="left"/>
              <w:rPr>
                <w:rFonts w:ascii="宋体" w:hAnsi="宋体" w:cs="宋体"/>
                <w:color w:val="auto"/>
                <w:szCs w:val="21"/>
              </w:rPr>
            </w:pPr>
            <w:r>
              <w:rPr>
                <w:rFonts w:hint="eastAsia" w:ascii="宋体" w:hAnsi="宋体" w:cs="宋体"/>
                <w:b/>
                <w:color w:val="auto"/>
                <w:szCs w:val="21"/>
              </w:rPr>
              <w:t>评审核验下列证书、证明材料：</w:t>
            </w:r>
          </w:p>
          <w:p>
            <w:pPr>
              <w:spacing w:line="320" w:lineRule="exact"/>
              <w:jc w:val="left"/>
              <w:rPr>
                <w:rFonts w:ascii="宋体" w:hAnsi="宋体" w:cs="宋体"/>
                <w:color w:val="auto"/>
                <w:szCs w:val="21"/>
              </w:rPr>
            </w:pPr>
            <w:r>
              <w:rPr>
                <w:rFonts w:hint="eastAsia" w:ascii="宋体" w:hAnsi="宋体" w:cs="宋体"/>
                <w:color w:val="auto"/>
                <w:szCs w:val="21"/>
              </w:rPr>
              <w:t>投标人有效的营业执照、税务登记证、组织机构码证（或“三证合一证书”）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85" w:type="dxa"/>
            <w:vMerge w:val="continue"/>
            <w:vAlign w:val="center"/>
          </w:tcPr>
          <w:p>
            <w:pPr>
              <w:spacing w:line="320" w:lineRule="exact"/>
              <w:jc w:val="center"/>
              <w:rPr>
                <w:rFonts w:ascii="宋体" w:hAnsi="宋体" w:cs="宋体"/>
                <w:color w:val="auto"/>
                <w:szCs w:val="21"/>
              </w:rPr>
            </w:pPr>
          </w:p>
        </w:tc>
        <w:tc>
          <w:tcPr>
            <w:tcW w:w="1527" w:type="dxa"/>
            <w:vMerge w:val="continue"/>
            <w:vAlign w:val="center"/>
          </w:tcPr>
          <w:p>
            <w:pPr>
              <w:spacing w:line="320" w:lineRule="exact"/>
              <w:rPr>
                <w:rFonts w:ascii="宋体" w:hAnsi="宋体" w:cs="宋体"/>
                <w:color w:val="auto"/>
                <w:szCs w:val="21"/>
              </w:rPr>
            </w:pPr>
          </w:p>
        </w:tc>
        <w:tc>
          <w:tcPr>
            <w:tcW w:w="3008" w:type="dxa"/>
          </w:tcPr>
          <w:p>
            <w:pPr>
              <w:spacing w:line="320" w:lineRule="exact"/>
              <w:rPr>
                <w:rFonts w:ascii="宋体" w:hAnsi="宋体" w:cs="宋体"/>
                <w:color w:val="auto"/>
                <w:szCs w:val="21"/>
              </w:rPr>
            </w:pPr>
            <w:r>
              <w:rPr>
                <w:rFonts w:hint="eastAsia" w:ascii="宋体" w:hAnsi="宋体" w:cs="宋体"/>
                <w:color w:val="auto"/>
                <w:szCs w:val="21"/>
              </w:rPr>
              <w:t>（4）诚信投标承诺书</w:t>
            </w:r>
          </w:p>
        </w:tc>
        <w:tc>
          <w:tcPr>
            <w:tcW w:w="3929" w:type="dxa"/>
          </w:tcPr>
          <w:p>
            <w:pPr>
              <w:spacing w:line="360" w:lineRule="exact"/>
              <w:jc w:val="left"/>
              <w:rPr>
                <w:rFonts w:ascii="宋体" w:hAnsi="宋体" w:cs="宋体"/>
                <w:b/>
                <w:color w:val="auto"/>
                <w:szCs w:val="21"/>
              </w:rPr>
            </w:pPr>
            <w:r>
              <w:rPr>
                <w:rFonts w:hint="eastAsia" w:ascii="宋体" w:hAnsi="宋体" w:cs="宋体"/>
                <w:color w:val="auto"/>
                <w:szCs w:val="21"/>
              </w:rPr>
              <w:t>格式见附件</w:t>
            </w:r>
          </w:p>
        </w:tc>
      </w:tr>
    </w:tbl>
    <w:p>
      <w:pPr>
        <w:spacing w:before="312" w:beforeLines="100" w:line="440" w:lineRule="exact"/>
        <w:ind w:firstLine="310" w:firstLineChars="147"/>
        <w:rPr>
          <w:rFonts w:ascii="宋体"/>
          <w:b/>
          <w:color w:val="auto"/>
          <w:szCs w:val="21"/>
        </w:rPr>
      </w:pPr>
      <w:r>
        <w:rPr>
          <w:rFonts w:hint="eastAsia" w:ascii="宋体"/>
          <w:b/>
          <w:color w:val="auto"/>
          <w:szCs w:val="21"/>
        </w:rPr>
        <w:t>4.符合性审查</w:t>
      </w:r>
    </w:p>
    <w:p>
      <w:pPr>
        <w:spacing w:line="440" w:lineRule="exact"/>
        <w:ind w:firstLine="315" w:firstLineChars="150"/>
        <w:rPr>
          <w:rFonts w:ascii="宋体"/>
          <w:color w:val="auto"/>
          <w:szCs w:val="21"/>
        </w:rPr>
      </w:pPr>
      <w:r>
        <w:rPr>
          <w:rFonts w:hint="eastAsia" w:ascii="宋体"/>
          <w:color w:val="auto"/>
          <w:szCs w:val="21"/>
        </w:rPr>
        <w:t>4．1评审细则</w:t>
      </w:r>
    </w:p>
    <w:tbl>
      <w:tblPr>
        <w:tblStyle w:val="51"/>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04"/>
        <w:gridCol w:w="2931"/>
        <w:gridCol w:w="4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31" w:type="dxa"/>
            <w:vAlign w:val="center"/>
          </w:tcPr>
          <w:p>
            <w:pPr>
              <w:spacing w:line="320" w:lineRule="atLeast"/>
              <w:jc w:val="center"/>
              <w:rPr>
                <w:rFonts w:ascii="黑体" w:eastAsia="黑体" w:cs="黑体"/>
                <w:b/>
                <w:bCs/>
                <w:color w:val="auto"/>
                <w:szCs w:val="21"/>
              </w:rPr>
            </w:pPr>
            <w:r>
              <w:rPr>
                <w:rFonts w:hint="eastAsia" w:ascii="黑体" w:eastAsia="黑体" w:cs="黑体"/>
                <w:b/>
                <w:bCs/>
                <w:color w:val="auto"/>
                <w:szCs w:val="21"/>
              </w:rPr>
              <w:t>序号</w:t>
            </w:r>
          </w:p>
        </w:tc>
        <w:tc>
          <w:tcPr>
            <w:tcW w:w="4135" w:type="dxa"/>
            <w:gridSpan w:val="2"/>
            <w:vAlign w:val="center"/>
          </w:tcPr>
          <w:p>
            <w:pPr>
              <w:spacing w:line="320" w:lineRule="atLeast"/>
              <w:jc w:val="center"/>
              <w:rPr>
                <w:rFonts w:ascii="黑体" w:eastAsia="黑体" w:cs="黑体"/>
                <w:b/>
                <w:bCs/>
                <w:color w:val="auto"/>
                <w:szCs w:val="21"/>
              </w:rPr>
            </w:pPr>
            <w:r>
              <w:rPr>
                <w:rFonts w:hint="eastAsia" w:ascii="黑体" w:eastAsia="黑体" w:cs="黑体"/>
                <w:b/>
                <w:bCs/>
                <w:color w:val="auto"/>
                <w:szCs w:val="21"/>
              </w:rPr>
              <w:t>审查因素</w:t>
            </w:r>
          </w:p>
        </w:tc>
        <w:tc>
          <w:tcPr>
            <w:tcW w:w="4602" w:type="dxa"/>
            <w:vAlign w:val="center"/>
          </w:tcPr>
          <w:p>
            <w:pPr>
              <w:spacing w:line="320" w:lineRule="atLeast"/>
              <w:jc w:val="center"/>
              <w:rPr>
                <w:rFonts w:ascii="黑体" w:eastAsia="黑体" w:cs="黑体"/>
                <w:b/>
                <w:bCs/>
                <w:color w:val="auto"/>
                <w:szCs w:val="21"/>
              </w:rPr>
            </w:pPr>
            <w:r>
              <w:rPr>
                <w:rFonts w:hint="eastAsia" w:ascii="黑体" w:eastAsia="黑体" w:cs="黑体"/>
                <w:b/>
                <w:bCs/>
                <w:color w:val="auto"/>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731" w:type="dxa"/>
            <w:vMerge w:val="restart"/>
            <w:vAlign w:val="center"/>
          </w:tcPr>
          <w:p>
            <w:pPr>
              <w:spacing w:line="320" w:lineRule="atLeast"/>
              <w:jc w:val="center"/>
              <w:rPr>
                <w:rFonts w:ascii="宋体"/>
                <w:color w:val="auto"/>
                <w:szCs w:val="21"/>
              </w:rPr>
            </w:pPr>
            <w:r>
              <w:rPr>
                <w:rFonts w:hint="eastAsia" w:ascii="宋体"/>
                <w:color w:val="auto"/>
                <w:szCs w:val="21"/>
              </w:rPr>
              <w:t>1</w:t>
            </w:r>
          </w:p>
        </w:tc>
        <w:tc>
          <w:tcPr>
            <w:tcW w:w="1204" w:type="dxa"/>
            <w:vMerge w:val="restart"/>
            <w:vAlign w:val="center"/>
          </w:tcPr>
          <w:p>
            <w:pPr>
              <w:spacing w:line="320" w:lineRule="atLeast"/>
              <w:rPr>
                <w:rFonts w:ascii="宋体" w:cs="仿宋_GB2312"/>
                <w:color w:val="auto"/>
                <w:szCs w:val="21"/>
                <w:lang w:val="zh-CN"/>
              </w:rPr>
            </w:pPr>
            <w:r>
              <w:rPr>
                <w:rFonts w:hint="eastAsia" w:ascii="宋体" w:cs="仿宋_GB2312"/>
                <w:color w:val="auto"/>
                <w:szCs w:val="21"/>
                <w:lang w:val="zh-CN"/>
              </w:rPr>
              <w:t>标书的有效 性</w:t>
            </w:r>
          </w:p>
        </w:tc>
        <w:tc>
          <w:tcPr>
            <w:tcW w:w="2931" w:type="dxa"/>
            <w:vAlign w:val="center"/>
          </w:tcPr>
          <w:p>
            <w:pPr>
              <w:spacing w:line="320" w:lineRule="atLeast"/>
              <w:rPr>
                <w:rFonts w:ascii="宋体" w:cs="仿宋_GB2312"/>
                <w:color w:val="auto"/>
                <w:szCs w:val="21"/>
                <w:lang w:val="zh-CN"/>
              </w:rPr>
            </w:pPr>
            <w:r>
              <w:rPr>
                <w:rFonts w:hint="eastAsia" w:ascii="宋体" w:cs="仿宋_GB2312"/>
                <w:color w:val="auto"/>
                <w:szCs w:val="21"/>
                <w:lang w:val="zh-CN"/>
              </w:rPr>
              <w:t>（1）投标文件签署</w:t>
            </w:r>
          </w:p>
        </w:tc>
        <w:tc>
          <w:tcPr>
            <w:tcW w:w="4602" w:type="dxa"/>
            <w:vAlign w:val="center"/>
          </w:tcPr>
          <w:p>
            <w:pPr>
              <w:spacing w:line="320" w:lineRule="atLeast"/>
              <w:rPr>
                <w:rFonts w:ascii="宋体" w:cs="仿宋_GB2312"/>
                <w:color w:val="auto"/>
                <w:szCs w:val="21"/>
                <w:lang w:val="zh-CN"/>
              </w:rPr>
            </w:pPr>
            <w:r>
              <w:rPr>
                <w:rFonts w:hint="eastAsia" w:ascii="宋体" w:cs="仿宋_GB2312"/>
                <w:color w:val="auto"/>
                <w:szCs w:val="21"/>
                <w:lang w:val="zh-CN"/>
              </w:rPr>
              <w:t>签字、盖章符合要求。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31" w:type="dxa"/>
            <w:vMerge w:val="continue"/>
            <w:vAlign w:val="center"/>
          </w:tcPr>
          <w:p>
            <w:pPr>
              <w:spacing w:line="320" w:lineRule="atLeast"/>
              <w:rPr>
                <w:color w:val="auto"/>
              </w:rPr>
            </w:pPr>
          </w:p>
        </w:tc>
        <w:tc>
          <w:tcPr>
            <w:tcW w:w="1204" w:type="dxa"/>
            <w:vMerge w:val="continue"/>
            <w:vAlign w:val="center"/>
          </w:tcPr>
          <w:p>
            <w:pPr>
              <w:spacing w:line="320" w:lineRule="atLeast"/>
              <w:rPr>
                <w:color w:val="auto"/>
              </w:rPr>
            </w:pPr>
          </w:p>
        </w:tc>
        <w:tc>
          <w:tcPr>
            <w:tcW w:w="2931" w:type="dxa"/>
            <w:vAlign w:val="center"/>
          </w:tcPr>
          <w:p>
            <w:pPr>
              <w:spacing w:line="320" w:lineRule="atLeast"/>
              <w:rPr>
                <w:rFonts w:ascii="宋体" w:cs="仿宋_GB2312"/>
                <w:color w:val="auto"/>
                <w:szCs w:val="21"/>
                <w:lang w:val="zh-CN"/>
              </w:rPr>
            </w:pPr>
            <w:r>
              <w:rPr>
                <w:rFonts w:hint="eastAsia" w:ascii="宋体"/>
                <w:color w:val="auto"/>
                <w:szCs w:val="21"/>
              </w:rPr>
              <w:t>（2）报价唯一</w:t>
            </w:r>
          </w:p>
        </w:tc>
        <w:tc>
          <w:tcPr>
            <w:tcW w:w="4602" w:type="dxa"/>
            <w:vAlign w:val="center"/>
          </w:tcPr>
          <w:p>
            <w:pPr>
              <w:spacing w:line="320" w:lineRule="atLeast"/>
              <w:rPr>
                <w:rFonts w:ascii="宋体" w:cs="宋体"/>
                <w:color w:val="auto"/>
                <w:szCs w:val="21"/>
              </w:rPr>
            </w:pPr>
            <w:r>
              <w:rPr>
                <w:rFonts w:hint="eastAsia" w:ascii="宋体" w:cs="仿宋_GB2312"/>
                <w:color w:val="auto"/>
                <w:szCs w:val="21"/>
                <w:lang w:val="zh-CN"/>
              </w:rPr>
              <w:t>只能在限价范围内报价，</w:t>
            </w:r>
            <w:r>
              <w:rPr>
                <w:rFonts w:hint="eastAsia" w:ascii="宋体"/>
                <w:color w:val="auto"/>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731" w:type="dxa"/>
            <w:vMerge w:val="continue"/>
            <w:vAlign w:val="center"/>
          </w:tcPr>
          <w:p>
            <w:pPr>
              <w:spacing w:line="320" w:lineRule="atLeast"/>
              <w:rPr>
                <w:color w:val="auto"/>
              </w:rPr>
            </w:pPr>
          </w:p>
        </w:tc>
        <w:tc>
          <w:tcPr>
            <w:tcW w:w="1204" w:type="dxa"/>
            <w:vMerge w:val="continue"/>
            <w:vAlign w:val="center"/>
          </w:tcPr>
          <w:p>
            <w:pPr>
              <w:spacing w:line="320" w:lineRule="atLeast"/>
              <w:rPr>
                <w:color w:val="auto"/>
              </w:rPr>
            </w:pPr>
          </w:p>
        </w:tc>
        <w:tc>
          <w:tcPr>
            <w:tcW w:w="2931" w:type="dxa"/>
            <w:vAlign w:val="center"/>
          </w:tcPr>
          <w:p>
            <w:pPr>
              <w:spacing w:line="320" w:lineRule="atLeast"/>
              <w:rPr>
                <w:rFonts w:ascii="宋体"/>
                <w:color w:val="auto"/>
                <w:szCs w:val="21"/>
              </w:rPr>
            </w:pPr>
            <w:r>
              <w:rPr>
                <w:rFonts w:hint="eastAsia" w:ascii="宋体"/>
                <w:color w:val="auto"/>
                <w:szCs w:val="21"/>
              </w:rPr>
              <w:t xml:space="preserve"> (3) 投标文件的有效期</w:t>
            </w:r>
          </w:p>
        </w:tc>
        <w:tc>
          <w:tcPr>
            <w:tcW w:w="4602" w:type="dxa"/>
            <w:vAlign w:val="center"/>
          </w:tcPr>
          <w:p>
            <w:pPr>
              <w:spacing w:line="320" w:lineRule="atLeast"/>
              <w:rPr>
                <w:rFonts w:ascii="宋体" w:cs="仿宋_GB2312"/>
                <w:color w:val="auto"/>
                <w:szCs w:val="21"/>
                <w:lang w:val="zh-CN"/>
              </w:rPr>
            </w:pPr>
            <w:r>
              <w:rPr>
                <w:rFonts w:hint="eastAsia" w:ascii="宋体" w:cs="仿宋_GB2312"/>
                <w:color w:val="auto"/>
                <w:szCs w:val="21"/>
                <w:lang w:val="zh-CN"/>
              </w:rPr>
              <w:t>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731" w:type="dxa"/>
            <w:vMerge w:val="restart"/>
            <w:vAlign w:val="center"/>
          </w:tcPr>
          <w:p>
            <w:pPr>
              <w:spacing w:line="320" w:lineRule="atLeast"/>
              <w:jc w:val="center"/>
              <w:rPr>
                <w:rFonts w:ascii="宋体"/>
                <w:color w:val="auto"/>
                <w:szCs w:val="21"/>
              </w:rPr>
            </w:pPr>
            <w:r>
              <w:rPr>
                <w:rFonts w:hint="eastAsia" w:ascii="宋体"/>
                <w:color w:val="auto"/>
                <w:szCs w:val="21"/>
              </w:rPr>
              <w:t>2</w:t>
            </w:r>
          </w:p>
        </w:tc>
        <w:tc>
          <w:tcPr>
            <w:tcW w:w="1204" w:type="dxa"/>
            <w:vMerge w:val="restart"/>
            <w:vAlign w:val="center"/>
          </w:tcPr>
          <w:p>
            <w:pPr>
              <w:spacing w:line="320" w:lineRule="atLeast"/>
              <w:rPr>
                <w:rFonts w:ascii="宋体" w:cs="仿宋_GB2312"/>
                <w:color w:val="auto"/>
                <w:szCs w:val="21"/>
                <w:lang w:val="zh-CN"/>
              </w:rPr>
            </w:pPr>
            <w:r>
              <w:rPr>
                <w:rFonts w:hint="eastAsia" w:ascii="宋体" w:cs="仿宋_GB2312"/>
                <w:color w:val="auto"/>
                <w:szCs w:val="21"/>
                <w:lang w:val="zh-CN"/>
              </w:rPr>
              <w:t>标书的完整 性</w:t>
            </w:r>
          </w:p>
        </w:tc>
        <w:tc>
          <w:tcPr>
            <w:tcW w:w="2931" w:type="dxa"/>
            <w:vAlign w:val="center"/>
          </w:tcPr>
          <w:p>
            <w:pPr>
              <w:spacing w:line="320" w:lineRule="atLeast"/>
              <w:rPr>
                <w:rFonts w:ascii="宋体" w:cs="宋体"/>
                <w:color w:val="auto"/>
                <w:szCs w:val="21"/>
              </w:rPr>
            </w:pPr>
            <w:r>
              <w:rPr>
                <w:rFonts w:hint="eastAsia" w:ascii="宋体" w:cs="仿宋_GB2312"/>
                <w:color w:val="auto"/>
                <w:szCs w:val="21"/>
                <w:lang w:val="zh-CN"/>
              </w:rPr>
              <w:t>（</w:t>
            </w:r>
            <w:r>
              <w:rPr>
                <w:rFonts w:hint="eastAsia" w:ascii="宋体" w:cs="仿宋_GB2312"/>
                <w:color w:val="auto"/>
                <w:szCs w:val="21"/>
              </w:rPr>
              <w:t>4</w:t>
            </w:r>
            <w:r>
              <w:rPr>
                <w:rFonts w:hint="eastAsia" w:ascii="宋体" w:cs="仿宋_GB2312"/>
                <w:color w:val="auto"/>
                <w:szCs w:val="21"/>
                <w:lang w:val="zh-CN"/>
              </w:rPr>
              <w:t>）投标文件份数</w:t>
            </w:r>
          </w:p>
        </w:tc>
        <w:tc>
          <w:tcPr>
            <w:tcW w:w="4602" w:type="dxa"/>
            <w:vAlign w:val="center"/>
          </w:tcPr>
          <w:p>
            <w:pPr>
              <w:spacing w:line="320" w:lineRule="atLeast"/>
              <w:rPr>
                <w:rFonts w:ascii="宋体" w:cs="宋体"/>
                <w:color w:val="auto"/>
                <w:szCs w:val="21"/>
              </w:rPr>
            </w:pPr>
            <w:r>
              <w:rPr>
                <w:rFonts w:hint="eastAsia" w:ascii="宋体" w:hAnsi="宋体" w:cs="宋体"/>
                <w:color w:val="auto"/>
                <w:szCs w:val="21"/>
              </w:rPr>
              <w:t>正本1份，副本2份。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731" w:type="dxa"/>
            <w:vMerge w:val="continue"/>
            <w:vAlign w:val="center"/>
          </w:tcPr>
          <w:p>
            <w:pPr>
              <w:spacing w:line="320" w:lineRule="atLeast"/>
              <w:rPr>
                <w:color w:val="auto"/>
              </w:rPr>
            </w:pPr>
          </w:p>
        </w:tc>
        <w:tc>
          <w:tcPr>
            <w:tcW w:w="1204" w:type="dxa"/>
            <w:vMerge w:val="continue"/>
            <w:vAlign w:val="center"/>
          </w:tcPr>
          <w:p>
            <w:pPr>
              <w:spacing w:line="320" w:lineRule="atLeast"/>
              <w:rPr>
                <w:color w:val="auto"/>
              </w:rPr>
            </w:pPr>
          </w:p>
        </w:tc>
        <w:tc>
          <w:tcPr>
            <w:tcW w:w="2931" w:type="dxa"/>
            <w:vAlign w:val="center"/>
          </w:tcPr>
          <w:p>
            <w:pPr>
              <w:spacing w:line="320" w:lineRule="atLeast"/>
              <w:rPr>
                <w:rFonts w:ascii="宋体" w:cs="仿宋_GB2312"/>
                <w:color w:val="auto"/>
                <w:szCs w:val="21"/>
                <w:lang w:val="zh-CN"/>
              </w:rPr>
            </w:pPr>
            <w:r>
              <w:rPr>
                <w:rFonts w:hint="eastAsia" w:ascii="宋体" w:cs="仿宋_GB2312"/>
                <w:color w:val="auto"/>
                <w:szCs w:val="21"/>
                <w:lang w:val="zh-CN"/>
              </w:rPr>
              <w:t>（</w:t>
            </w:r>
            <w:r>
              <w:rPr>
                <w:rFonts w:hint="eastAsia" w:ascii="宋体" w:cs="仿宋_GB2312"/>
                <w:color w:val="auto"/>
                <w:szCs w:val="21"/>
              </w:rPr>
              <w:t>5</w:t>
            </w:r>
            <w:r>
              <w:rPr>
                <w:rFonts w:hint="eastAsia" w:ascii="宋体" w:cs="仿宋_GB2312"/>
                <w:color w:val="auto"/>
                <w:szCs w:val="21"/>
                <w:lang w:val="zh-CN"/>
              </w:rPr>
              <w:t>）投标文件形式内容</w:t>
            </w:r>
          </w:p>
        </w:tc>
        <w:tc>
          <w:tcPr>
            <w:tcW w:w="4602" w:type="dxa"/>
            <w:vAlign w:val="center"/>
          </w:tcPr>
          <w:p>
            <w:pPr>
              <w:spacing w:line="320" w:lineRule="atLeast"/>
              <w:rPr>
                <w:rFonts w:ascii="宋体" w:cs="仿宋_GB2312"/>
                <w:color w:val="auto"/>
                <w:szCs w:val="21"/>
                <w:lang w:val="zh-CN"/>
              </w:rPr>
            </w:pPr>
            <w:r>
              <w:rPr>
                <w:rFonts w:hint="eastAsia" w:ascii="宋体" w:cs="仿宋_GB2312"/>
                <w:color w:val="auto"/>
                <w:szCs w:val="21"/>
                <w:lang w:val="zh-CN"/>
              </w:rPr>
              <w:t>投标文件内容清晰、齐全无遗漏。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731" w:type="dxa"/>
            <w:vMerge w:val="restart"/>
            <w:vAlign w:val="center"/>
          </w:tcPr>
          <w:p>
            <w:pPr>
              <w:spacing w:line="320" w:lineRule="atLeast"/>
              <w:jc w:val="center"/>
              <w:rPr>
                <w:rFonts w:ascii="宋体"/>
                <w:color w:val="auto"/>
                <w:szCs w:val="21"/>
              </w:rPr>
            </w:pPr>
            <w:r>
              <w:rPr>
                <w:rFonts w:hint="eastAsia" w:ascii="宋体"/>
                <w:color w:val="auto"/>
                <w:szCs w:val="21"/>
              </w:rPr>
              <w:t>3</w:t>
            </w:r>
          </w:p>
        </w:tc>
        <w:tc>
          <w:tcPr>
            <w:tcW w:w="1204" w:type="dxa"/>
            <w:vMerge w:val="restart"/>
            <w:vAlign w:val="center"/>
          </w:tcPr>
          <w:p>
            <w:pPr>
              <w:spacing w:line="320" w:lineRule="atLeast"/>
              <w:rPr>
                <w:rFonts w:ascii="宋体" w:cs="仿宋_GB2312"/>
                <w:color w:val="auto"/>
                <w:szCs w:val="21"/>
                <w:lang w:val="zh-CN"/>
              </w:rPr>
            </w:pPr>
            <w:r>
              <w:rPr>
                <w:rFonts w:hint="eastAsia" w:ascii="宋体" w:cs="仿宋_GB2312"/>
                <w:color w:val="auto"/>
                <w:szCs w:val="21"/>
                <w:lang w:val="zh-CN"/>
              </w:rPr>
              <w:t>标书的响应程度</w:t>
            </w:r>
          </w:p>
        </w:tc>
        <w:tc>
          <w:tcPr>
            <w:tcW w:w="2931" w:type="dxa"/>
            <w:vAlign w:val="center"/>
          </w:tcPr>
          <w:p>
            <w:pPr>
              <w:spacing w:line="320" w:lineRule="atLeast"/>
              <w:rPr>
                <w:rFonts w:ascii="宋体" w:cs="仿宋_GB2312"/>
                <w:color w:val="auto"/>
                <w:szCs w:val="21"/>
                <w:lang w:val="zh-CN"/>
              </w:rPr>
            </w:pPr>
            <w:r>
              <w:rPr>
                <w:rFonts w:hint="eastAsia" w:ascii="宋体" w:cs="仿宋_GB2312"/>
                <w:color w:val="auto"/>
                <w:szCs w:val="21"/>
                <w:lang w:val="zh-CN"/>
              </w:rPr>
              <w:t>（</w:t>
            </w:r>
            <w:r>
              <w:rPr>
                <w:rFonts w:hint="eastAsia" w:ascii="宋体" w:cs="仿宋_GB2312"/>
                <w:color w:val="auto"/>
                <w:szCs w:val="21"/>
              </w:rPr>
              <w:t>6</w:t>
            </w:r>
            <w:r>
              <w:rPr>
                <w:rFonts w:hint="eastAsia" w:ascii="宋体" w:cs="仿宋_GB2312"/>
                <w:color w:val="auto"/>
                <w:szCs w:val="21"/>
                <w:lang w:val="zh-CN"/>
              </w:rPr>
              <w:t>）技术参数响应程度</w:t>
            </w:r>
          </w:p>
        </w:tc>
        <w:tc>
          <w:tcPr>
            <w:tcW w:w="4602" w:type="dxa"/>
            <w:vAlign w:val="center"/>
          </w:tcPr>
          <w:p>
            <w:pPr>
              <w:spacing w:line="320" w:lineRule="atLeast"/>
              <w:rPr>
                <w:rFonts w:ascii="宋体" w:cs="仿宋_GB2312"/>
                <w:color w:val="auto"/>
                <w:szCs w:val="21"/>
                <w:lang w:val="zh-CN"/>
              </w:rPr>
            </w:pPr>
            <w:r>
              <w:rPr>
                <w:rFonts w:hint="eastAsia" w:ascii="宋体" w:cs="仿宋_GB2312"/>
                <w:color w:val="auto"/>
                <w:szCs w:val="21"/>
                <w:lang w:val="zh-CN"/>
              </w:rPr>
              <w:t>响应或优于交易文件要求。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731" w:type="dxa"/>
            <w:vMerge w:val="continue"/>
            <w:vAlign w:val="center"/>
          </w:tcPr>
          <w:p>
            <w:pPr>
              <w:spacing w:line="320" w:lineRule="atLeast"/>
              <w:rPr>
                <w:color w:val="auto"/>
              </w:rPr>
            </w:pPr>
          </w:p>
        </w:tc>
        <w:tc>
          <w:tcPr>
            <w:tcW w:w="1204" w:type="dxa"/>
            <w:vMerge w:val="continue"/>
            <w:vAlign w:val="center"/>
          </w:tcPr>
          <w:p>
            <w:pPr>
              <w:spacing w:line="320" w:lineRule="atLeast"/>
              <w:rPr>
                <w:color w:val="auto"/>
              </w:rPr>
            </w:pPr>
          </w:p>
        </w:tc>
        <w:tc>
          <w:tcPr>
            <w:tcW w:w="2931" w:type="dxa"/>
            <w:vAlign w:val="center"/>
          </w:tcPr>
          <w:p>
            <w:pPr>
              <w:spacing w:line="320" w:lineRule="atLeast"/>
              <w:rPr>
                <w:rFonts w:ascii="宋体" w:cs="仿宋_GB2312"/>
                <w:color w:val="auto"/>
                <w:szCs w:val="21"/>
                <w:lang w:val="zh-CN"/>
              </w:rPr>
            </w:pPr>
            <w:r>
              <w:rPr>
                <w:rFonts w:hint="eastAsia" w:ascii="宋体" w:cs="仿宋_GB2312"/>
                <w:color w:val="auto"/>
                <w:szCs w:val="21"/>
                <w:lang w:val="zh-CN"/>
              </w:rPr>
              <w:t>（</w:t>
            </w:r>
            <w:r>
              <w:rPr>
                <w:rFonts w:hint="eastAsia" w:ascii="宋体" w:cs="仿宋_GB2312"/>
                <w:color w:val="auto"/>
                <w:szCs w:val="21"/>
              </w:rPr>
              <w:t>7</w:t>
            </w:r>
            <w:r>
              <w:rPr>
                <w:rFonts w:hint="eastAsia" w:ascii="宋体" w:cs="仿宋_GB2312"/>
                <w:color w:val="auto"/>
                <w:szCs w:val="21"/>
                <w:lang w:val="zh-CN"/>
              </w:rPr>
              <w:t>）商务条款响应程度（包括供货期、售后服务、技术培训等）</w:t>
            </w:r>
          </w:p>
        </w:tc>
        <w:tc>
          <w:tcPr>
            <w:tcW w:w="4602" w:type="dxa"/>
            <w:vAlign w:val="center"/>
          </w:tcPr>
          <w:p>
            <w:pPr>
              <w:spacing w:line="320" w:lineRule="atLeast"/>
              <w:rPr>
                <w:rFonts w:ascii="宋体" w:cs="仿宋_GB2312"/>
                <w:color w:val="auto"/>
                <w:szCs w:val="21"/>
                <w:lang w:val="zh-CN"/>
              </w:rPr>
            </w:pPr>
            <w:r>
              <w:rPr>
                <w:rFonts w:hint="eastAsia" w:ascii="宋体" w:cs="仿宋_GB2312"/>
                <w:color w:val="auto"/>
                <w:szCs w:val="21"/>
                <w:lang w:val="zh-CN"/>
              </w:rPr>
              <w:t>响应或优于</w:t>
            </w:r>
            <w:r>
              <w:rPr>
                <w:rFonts w:hint="eastAsia" w:ascii="宋体" w:hAnsi="宋体" w:cs="宋体"/>
                <w:color w:val="auto"/>
                <w:szCs w:val="21"/>
                <w:lang w:val="zh-CN"/>
              </w:rPr>
              <w:t>交易文件要求。</w:t>
            </w:r>
          </w:p>
        </w:tc>
      </w:tr>
    </w:tbl>
    <w:p>
      <w:pPr>
        <w:spacing w:line="400" w:lineRule="exact"/>
        <w:ind w:firstLine="506" w:firstLineChars="241"/>
        <w:rPr>
          <w:rFonts w:ascii="宋体"/>
          <w:color w:val="auto"/>
          <w:szCs w:val="21"/>
        </w:rPr>
      </w:pPr>
      <w:r>
        <w:rPr>
          <w:rFonts w:hint="eastAsia" w:ascii="宋体"/>
          <w:color w:val="auto"/>
          <w:szCs w:val="21"/>
        </w:rPr>
        <w:t>4.2评委会判定投标文件的响应性只根据投标文件本身的内容，而不寻求外部的证据，但投标有不真实不正确的内容时除外。</w:t>
      </w:r>
    </w:p>
    <w:p>
      <w:pPr>
        <w:spacing w:line="400" w:lineRule="exact"/>
        <w:ind w:firstLine="506" w:firstLineChars="241"/>
        <w:rPr>
          <w:rFonts w:ascii="宋体"/>
          <w:color w:val="auto"/>
          <w:szCs w:val="21"/>
        </w:rPr>
      </w:pPr>
      <w:r>
        <w:rPr>
          <w:rFonts w:hint="eastAsia" w:ascii="宋体"/>
          <w:color w:val="auto"/>
          <w:szCs w:val="21"/>
        </w:rPr>
        <w:t>4.3如果投标文件实质上没有响应交易文件的要求，评委会将予以拒绝，投标人不得通过修正或撤销不符合要求的偏离或保留，而使其投标成为实质上响应的投标。</w:t>
      </w:r>
    </w:p>
    <w:p>
      <w:pPr>
        <w:spacing w:line="400" w:lineRule="exact"/>
        <w:ind w:firstLine="420" w:firstLineChars="200"/>
        <w:rPr>
          <w:rFonts w:ascii="宋体"/>
          <w:color w:val="auto"/>
          <w:szCs w:val="21"/>
        </w:rPr>
      </w:pPr>
      <w:r>
        <w:rPr>
          <w:rFonts w:hint="eastAsia" w:ascii="宋体"/>
          <w:color w:val="auto"/>
          <w:szCs w:val="21"/>
        </w:rPr>
        <w:t xml:space="preserve"> 4.4投标人可在现场20分钟内对评标委员会的评审结论提出异议，评标委员会根据交易文件及有关规定对投标人的异议进行复议</w:t>
      </w:r>
    </w:p>
    <w:p>
      <w:pPr>
        <w:spacing w:line="400" w:lineRule="exact"/>
        <w:ind w:firstLine="525" w:firstLineChars="250"/>
        <w:rPr>
          <w:rFonts w:ascii="宋体" w:hAnsi="宋体"/>
          <w:b/>
          <w:color w:val="auto"/>
          <w:szCs w:val="21"/>
        </w:rPr>
      </w:pPr>
      <w:r>
        <w:rPr>
          <w:rFonts w:hint="eastAsia" w:ascii="宋体"/>
          <w:color w:val="auto"/>
          <w:szCs w:val="21"/>
        </w:rPr>
        <w:t>4.5只有通过初审的投标人才能进入下一步评标程序。</w:t>
      </w:r>
    </w:p>
    <w:p>
      <w:pPr>
        <w:spacing w:before="312" w:beforeLines="100" w:line="400" w:lineRule="exact"/>
        <w:jc w:val="center"/>
        <w:outlineLvl w:val="1"/>
        <w:rPr>
          <w:rFonts w:ascii="宋体"/>
          <w:b/>
          <w:color w:val="auto"/>
          <w:sz w:val="24"/>
        </w:rPr>
      </w:pPr>
      <w:bookmarkStart w:id="574" w:name="_Toc12765"/>
      <w:bookmarkStart w:id="575" w:name="_Toc469495734"/>
      <w:bookmarkStart w:id="576" w:name="_Toc362983803"/>
      <w:bookmarkStart w:id="577" w:name="_Toc6216"/>
      <w:bookmarkStart w:id="578" w:name="_Toc307"/>
      <w:r>
        <w:rPr>
          <w:rFonts w:hint="eastAsia" w:ascii="宋体"/>
          <w:b/>
          <w:color w:val="auto"/>
          <w:sz w:val="24"/>
        </w:rPr>
        <w:t>三  投标文件的澄清和补正</w:t>
      </w:r>
      <w:bookmarkEnd w:id="574"/>
      <w:bookmarkEnd w:id="575"/>
      <w:bookmarkEnd w:id="576"/>
      <w:bookmarkEnd w:id="577"/>
      <w:bookmarkEnd w:id="578"/>
    </w:p>
    <w:p>
      <w:pPr>
        <w:spacing w:line="380" w:lineRule="exact"/>
        <w:ind w:firstLine="527" w:firstLineChars="250"/>
        <w:rPr>
          <w:rFonts w:ascii="宋体"/>
          <w:color w:val="auto"/>
          <w:szCs w:val="21"/>
        </w:rPr>
      </w:pPr>
      <w:r>
        <w:rPr>
          <w:rFonts w:hint="eastAsia" w:ascii="宋体" w:hAnsi="宋体" w:cs="宋体"/>
          <w:b/>
          <w:bCs/>
          <w:color w:val="auto"/>
          <w:szCs w:val="21"/>
        </w:rPr>
        <w:t>5.1</w:t>
      </w:r>
      <w:r>
        <w:rPr>
          <w:rFonts w:hint="eastAsia" w:ascii="宋体"/>
          <w:color w:val="auto"/>
          <w:szCs w:val="21"/>
        </w:rPr>
        <w:t>评委会修正错误的原则：</w:t>
      </w:r>
    </w:p>
    <w:p>
      <w:pPr>
        <w:spacing w:line="380" w:lineRule="exact"/>
        <w:ind w:firstLine="525" w:firstLineChars="250"/>
        <w:rPr>
          <w:rFonts w:ascii="宋体"/>
          <w:color w:val="auto"/>
          <w:szCs w:val="21"/>
        </w:rPr>
      </w:pPr>
      <w:r>
        <w:rPr>
          <w:rFonts w:hint="eastAsia" w:ascii="宋体"/>
          <w:color w:val="auto"/>
          <w:szCs w:val="21"/>
        </w:rPr>
        <w:t>5.1.1如果数字表示的金额和用文字表示的金额不一致时，以文字表示的金额为准；当货物服务报价表、投标函的总报价与开标一览表不一致时，以开标一览表为准。</w:t>
      </w:r>
    </w:p>
    <w:p>
      <w:pPr>
        <w:spacing w:line="380" w:lineRule="exact"/>
        <w:ind w:firstLine="525" w:firstLineChars="250"/>
        <w:rPr>
          <w:rFonts w:ascii="宋体"/>
          <w:color w:val="auto"/>
          <w:szCs w:val="21"/>
        </w:rPr>
      </w:pPr>
      <w:r>
        <w:rPr>
          <w:rFonts w:hint="eastAsia" w:ascii="宋体"/>
          <w:color w:val="auto"/>
          <w:szCs w:val="21"/>
        </w:rPr>
        <w:t>5.1.2如果单价与数量的乘积和总价不一致，以单价为准，修正总价及开标一览表；当单价小数点有明显的错位时，评委会将以总价为准，并修正其单价。</w:t>
      </w:r>
    </w:p>
    <w:p>
      <w:pPr>
        <w:spacing w:line="380" w:lineRule="exact"/>
        <w:ind w:firstLine="403" w:firstLineChars="192"/>
        <w:rPr>
          <w:rFonts w:ascii="宋体"/>
          <w:b/>
          <w:color w:val="auto"/>
          <w:sz w:val="24"/>
        </w:rPr>
      </w:pPr>
      <w:r>
        <w:rPr>
          <w:rFonts w:hint="eastAsia" w:ascii="宋体"/>
          <w:color w:val="auto"/>
          <w:szCs w:val="21"/>
        </w:rPr>
        <w:t xml:space="preserve"> 5.2评委会将按上述修正错误的方法调整投标文件中的投标报价，调整后的价格应对投标人具有约束力。无论投标人是接受或是拒绝调整后的价格，都应当由</w:t>
      </w:r>
      <w:r>
        <w:rPr>
          <w:rFonts w:hint="eastAsia" w:ascii="宋体" w:hAnsi="宋体" w:cs="宋体"/>
          <w:b/>
          <w:bCs/>
          <w:color w:val="auto"/>
          <w:szCs w:val="21"/>
        </w:rPr>
        <w:t>投标人进行有效确认</w:t>
      </w:r>
      <w:r>
        <w:rPr>
          <w:rFonts w:hint="eastAsia" w:ascii="宋体"/>
          <w:color w:val="auto"/>
          <w:szCs w:val="21"/>
        </w:rPr>
        <w:t>。投标人拒绝对投标文件出现的错漏按上述原则进行修正、澄清、说明，评标委员会应当否决其投标。</w:t>
      </w:r>
      <w:bookmarkStart w:id="579" w:name="_Toc469495735"/>
    </w:p>
    <w:p>
      <w:pPr>
        <w:spacing w:line="380" w:lineRule="exact"/>
        <w:jc w:val="center"/>
        <w:outlineLvl w:val="1"/>
        <w:rPr>
          <w:rFonts w:ascii="宋体"/>
          <w:b/>
          <w:color w:val="auto"/>
          <w:sz w:val="24"/>
        </w:rPr>
      </w:pPr>
      <w:bookmarkStart w:id="580" w:name="_Toc18854"/>
      <w:bookmarkStart w:id="581" w:name="_Toc18354"/>
      <w:bookmarkStart w:id="582" w:name="_Toc25675"/>
      <w:r>
        <w:rPr>
          <w:rFonts w:hint="eastAsia" w:ascii="宋体"/>
          <w:b/>
          <w:color w:val="auto"/>
          <w:sz w:val="24"/>
        </w:rPr>
        <w:t>四 比较与评价</w:t>
      </w:r>
      <w:bookmarkEnd w:id="579"/>
      <w:bookmarkEnd w:id="580"/>
      <w:bookmarkEnd w:id="581"/>
      <w:bookmarkEnd w:id="582"/>
    </w:p>
    <w:p>
      <w:pPr>
        <w:spacing w:line="400" w:lineRule="exact"/>
        <w:ind w:firstLine="417" w:firstLineChars="198"/>
        <w:rPr>
          <w:rFonts w:ascii="宋体"/>
          <w:b/>
          <w:color w:val="auto"/>
          <w:szCs w:val="21"/>
        </w:rPr>
      </w:pPr>
      <w:r>
        <w:rPr>
          <w:rFonts w:hint="eastAsia" w:ascii="宋体" w:hAnsi="宋体"/>
          <w:b/>
          <w:color w:val="auto"/>
          <w:szCs w:val="21"/>
        </w:rPr>
        <w:t xml:space="preserve"> 6. </w:t>
      </w:r>
      <w:r>
        <w:rPr>
          <w:rFonts w:hint="eastAsia" w:ascii="宋体"/>
          <w:b/>
          <w:color w:val="auto"/>
          <w:szCs w:val="21"/>
        </w:rPr>
        <w:t>详细评审即按招标文件中规定的评标方法和标准，评标委员会将对通过初审的投标文件，进行资信、技术和商务部分评估、综合比较与评价。</w:t>
      </w:r>
    </w:p>
    <w:p>
      <w:pPr>
        <w:spacing w:line="400" w:lineRule="exact"/>
        <w:rPr>
          <w:rFonts w:ascii="宋体" w:hAnsi="宋体"/>
          <w:b/>
          <w:color w:val="auto"/>
          <w:sz w:val="24"/>
        </w:rPr>
      </w:pPr>
      <w:r>
        <w:rPr>
          <w:rFonts w:hint="eastAsia" w:ascii="宋体" w:hAnsi="宋体"/>
          <w:b/>
          <w:color w:val="auto"/>
          <w:sz w:val="24"/>
        </w:rPr>
        <w:t>6.1资信标评审细则（</w:t>
      </w:r>
      <w:r>
        <w:rPr>
          <w:rFonts w:ascii="宋体" w:hAnsi="宋体"/>
          <w:b/>
          <w:color w:val="auto"/>
          <w:sz w:val="24"/>
        </w:rPr>
        <w:t>4</w:t>
      </w:r>
      <w:r>
        <w:rPr>
          <w:rFonts w:hint="eastAsia" w:ascii="宋体" w:hAnsi="宋体"/>
          <w:b/>
          <w:color w:val="auto"/>
          <w:sz w:val="24"/>
        </w:rPr>
        <w:t>0分）</w:t>
      </w:r>
    </w:p>
    <w:tbl>
      <w:tblPr>
        <w:tblStyle w:val="51"/>
        <w:tblW w:w="58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6839"/>
        <w:gridCol w:w="889"/>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color w:val="auto"/>
                <w:szCs w:val="21"/>
              </w:rPr>
            </w:pPr>
            <w:r>
              <w:rPr>
                <w:rFonts w:hint="eastAsia" w:ascii="宋体" w:hAnsi="宋体" w:cs="宋体"/>
                <w:color w:val="auto"/>
                <w:szCs w:val="21"/>
              </w:rPr>
              <w:t>评分因素</w:t>
            </w:r>
          </w:p>
        </w:tc>
        <w:tc>
          <w:tcPr>
            <w:tcW w:w="345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color w:val="auto"/>
                <w:szCs w:val="21"/>
              </w:rPr>
            </w:pPr>
            <w:r>
              <w:rPr>
                <w:rFonts w:hint="eastAsia" w:ascii="宋体" w:hAnsi="宋体" w:cs="宋体"/>
                <w:color w:val="auto"/>
                <w:szCs w:val="21"/>
              </w:rPr>
              <w:t>评审标准</w:t>
            </w:r>
          </w:p>
        </w:tc>
        <w:tc>
          <w:tcPr>
            <w:tcW w:w="44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color w:val="auto"/>
                <w:szCs w:val="21"/>
              </w:rPr>
            </w:pPr>
            <w:r>
              <w:rPr>
                <w:rFonts w:hint="eastAsia" w:ascii="宋体" w:hAnsi="宋体" w:cs="宋体"/>
                <w:color w:val="auto"/>
                <w:szCs w:val="21"/>
              </w:rPr>
              <w:t>分值</w:t>
            </w:r>
          </w:p>
        </w:tc>
        <w:tc>
          <w:tcPr>
            <w:tcW w:w="54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color w:val="auto"/>
                <w:szCs w:val="21"/>
              </w:rPr>
            </w:pPr>
            <w:r>
              <w:rPr>
                <w:rFonts w:hint="eastAsia" w:ascii="宋体" w:hAnsi="宋体" w:cs="宋体"/>
                <w:color w:val="auto"/>
                <w:szCs w:val="21"/>
              </w:rPr>
              <w:t>须提供的证明材料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color w:val="auto"/>
                <w:szCs w:val="21"/>
              </w:rPr>
            </w:pPr>
            <w:r>
              <w:rPr>
                <w:rFonts w:hint="eastAsia" w:ascii="宋体" w:hAnsi="宋体" w:cs="宋体"/>
                <w:color w:val="auto"/>
                <w:szCs w:val="21"/>
              </w:rPr>
              <w:t>企业资质</w:t>
            </w:r>
          </w:p>
        </w:tc>
        <w:tc>
          <w:tcPr>
            <w:tcW w:w="345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1、投标人具有中国国家认证认可监督管理委员会认证机构颁发的下列有效证书：质量管理体系认证证书、信息安全管理体系认证证书、信息技术服务管理体系认证证书，每提供一个得</w:t>
            </w:r>
            <w:r>
              <w:rPr>
                <w:rFonts w:ascii="宋体" w:hAnsi="宋体" w:cs="宋体"/>
                <w:color w:val="auto"/>
                <w:szCs w:val="21"/>
                <w:highlight w:val="none"/>
              </w:rPr>
              <w:t>2</w:t>
            </w:r>
            <w:r>
              <w:rPr>
                <w:rFonts w:hint="eastAsia" w:ascii="宋体" w:hAnsi="宋体" w:cs="宋体"/>
                <w:color w:val="auto"/>
                <w:szCs w:val="21"/>
                <w:highlight w:val="none"/>
              </w:rPr>
              <w:t>分，本小项满分</w:t>
            </w:r>
            <w:r>
              <w:rPr>
                <w:rFonts w:ascii="宋体" w:hAnsi="宋体" w:cs="宋体"/>
                <w:color w:val="auto"/>
                <w:szCs w:val="21"/>
                <w:highlight w:val="none"/>
              </w:rPr>
              <w:t>6</w:t>
            </w:r>
            <w:r>
              <w:rPr>
                <w:rFonts w:hint="eastAsia" w:ascii="宋体" w:hAnsi="宋体" w:cs="宋体"/>
                <w:color w:val="auto"/>
                <w:szCs w:val="21"/>
                <w:highlight w:val="none"/>
              </w:rPr>
              <w:t>分，未提供不得分；</w:t>
            </w:r>
          </w:p>
          <w:p>
            <w:pPr>
              <w:spacing w:line="360" w:lineRule="exact"/>
              <w:rPr>
                <w:rFonts w:ascii="宋体" w:hAnsi="宋体" w:cs="宋体"/>
                <w:color w:val="auto"/>
                <w:szCs w:val="21"/>
              </w:rPr>
            </w:pPr>
            <w:r>
              <w:rPr>
                <w:rFonts w:hint="eastAsia" w:ascii="宋体" w:hAnsi="宋体" w:cs="宋体"/>
                <w:color w:val="auto"/>
                <w:szCs w:val="21"/>
                <w:highlight w:val="none"/>
              </w:rPr>
              <w:t>2、投标人所投云资源池需位于项目</w:t>
            </w:r>
            <w:r>
              <w:rPr>
                <w:rFonts w:hint="eastAsia" w:ascii="宋体" w:hAnsi="宋体" w:cs="宋体"/>
                <w:color w:val="auto"/>
                <w:szCs w:val="21"/>
                <w:highlight w:val="none"/>
                <w:lang w:val="en-US" w:eastAsia="zh-CN"/>
              </w:rPr>
              <w:t>所在地</w:t>
            </w:r>
            <w:r>
              <w:rPr>
                <w:rFonts w:hint="eastAsia" w:ascii="宋体" w:hAnsi="宋体" w:cs="宋体"/>
                <w:color w:val="auto"/>
                <w:szCs w:val="21"/>
                <w:highlight w:val="none"/>
              </w:rPr>
              <w:t>，且具有安全等级保护三级的得3分，投标人需提供证明材料</w:t>
            </w:r>
            <w:r>
              <w:rPr>
                <w:rFonts w:hint="eastAsia" w:ascii="宋体" w:hAnsi="宋体" w:cs="宋体"/>
                <w:color w:val="auto"/>
                <w:szCs w:val="21"/>
                <w:highlight w:val="none"/>
                <w:lang w:val="en-US" w:eastAsia="zh-CN"/>
              </w:rPr>
              <w:t>复印件加盖公章</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原件中标后备查，</w:t>
            </w:r>
            <w:r>
              <w:rPr>
                <w:rFonts w:hint="eastAsia" w:ascii="宋体" w:hAnsi="宋体" w:cs="宋体"/>
                <w:color w:val="auto"/>
                <w:szCs w:val="21"/>
                <w:highlight w:val="none"/>
              </w:rPr>
              <w:t>未提供不得分。</w:t>
            </w:r>
          </w:p>
        </w:tc>
        <w:tc>
          <w:tcPr>
            <w:tcW w:w="44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color w:val="auto"/>
                <w:szCs w:val="21"/>
              </w:rPr>
            </w:pPr>
            <w:r>
              <w:rPr>
                <w:rFonts w:hint="eastAsia" w:ascii="宋体" w:hAnsi="宋体" w:cs="宋体"/>
                <w:color w:val="auto"/>
                <w:szCs w:val="21"/>
                <w:lang w:val="en-US" w:eastAsia="zh-CN"/>
              </w:rPr>
              <w:t>9</w:t>
            </w:r>
            <w:r>
              <w:rPr>
                <w:rFonts w:hint="eastAsia" w:ascii="宋体" w:hAnsi="宋体" w:cs="宋体"/>
                <w:color w:val="auto"/>
                <w:szCs w:val="21"/>
              </w:rPr>
              <w:t>分</w:t>
            </w:r>
          </w:p>
        </w:tc>
        <w:tc>
          <w:tcPr>
            <w:tcW w:w="548" w:type="pct"/>
            <w:vMerge w:val="restart"/>
            <w:tcBorders>
              <w:top w:val="single" w:color="auto" w:sz="4" w:space="0"/>
              <w:left w:val="single" w:color="auto" w:sz="4" w:space="0"/>
              <w:right w:val="single" w:color="auto" w:sz="4" w:space="0"/>
            </w:tcBorders>
            <w:shd w:val="clear" w:color="auto" w:fill="auto"/>
            <w:vAlign w:val="center"/>
          </w:tcPr>
          <w:p>
            <w:pPr>
              <w:spacing w:line="360" w:lineRule="exact"/>
              <w:rPr>
                <w:rFonts w:ascii="宋体" w:hAnsi="宋体" w:cs="宋体"/>
                <w:color w:val="auto"/>
                <w:szCs w:val="21"/>
              </w:rPr>
            </w:pPr>
            <w:r>
              <w:rPr>
                <w:rFonts w:hint="eastAsia" w:ascii="宋体" w:hAnsi="宋体" w:cs="宋体"/>
                <w:color w:val="auto"/>
                <w:szCs w:val="21"/>
              </w:rPr>
              <w:t>检验投标文件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项目人员配备</w:t>
            </w:r>
          </w:p>
        </w:tc>
        <w:tc>
          <w:tcPr>
            <w:tcW w:w="345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1.拟为本项目配备的项目经理</w:t>
            </w:r>
            <w:r>
              <w:rPr>
                <w:rFonts w:hint="eastAsia" w:ascii="宋体" w:hAnsi="宋体" w:cs="宋体"/>
                <w:color w:val="auto"/>
                <w:szCs w:val="21"/>
                <w:highlight w:val="none"/>
                <w:lang w:val="en-US" w:eastAsia="zh-CN"/>
              </w:rPr>
              <w:t>具有</w:t>
            </w:r>
            <w:r>
              <w:rPr>
                <w:rFonts w:hint="eastAsia" w:ascii="宋体" w:hAnsi="宋体" w:cs="宋体"/>
                <w:color w:val="auto"/>
                <w:szCs w:val="21"/>
                <w:highlight w:val="none"/>
              </w:rPr>
              <w:t>信息系统项目管理师证书</w:t>
            </w:r>
            <w:r>
              <w:rPr>
                <w:rFonts w:hint="eastAsia" w:ascii="宋体" w:hAnsi="宋体" w:cs="宋体"/>
                <w:color w:val="auto"/>
                <w:szCs w:val="21"/>
                <w:highlight w:val="none"/>
                <w:lang w:val="en-US" w:eastAsia="zh-CN"/>
              </w:rPr>
              <w:t>的得3</w:t>
            </w:r>
            <w:r>
              <w:rPr>
                <w:rFonts w:hint="eastAsia" w:ascii="宋体" w:hAnsi="宋体" w:cs="宋体"/>
                <w:color w:val="auto"/>
                <w:szCs w:val="21"/>
                <w:highlight w:val="none"/>
              </w:rPr>
              <w:t>分；</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2.项目团队成员(不含项目经理)其他人员（</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具备1名通信工程师或者网络工程师，得2分，最高2分。</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具备1名软件设计师，得2分，最高得2分；</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 xml:space="preserve">具备1名数据库系统工程师证书，得2分，最高得2分； </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注：上述人员不得兼任，投标文件中同时提供以下证明材料：</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（1）人员名单（格式自拟）；</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（2）上述人员证书扫描件；</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（3）投标人为上述人员缴纳的近3个月内（任意一个月）社保证明材料扫描件。</w:t>
            </w:r>
          </w:p>
        </w:tc>
        <w:tc>
          <w:tcPr>
            <w:tcW w:w="44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分</w:t>
            </w:r>
          </w:p>
        </w:tc>
        <w:tc>
          <w:tcPr>
            <w:tcW w:w="548" w:type="pct"/>
            <w:vMerge w:val="continue"/>
            <w:tcBorders>
              <w:left w:val="single" w:color="auto" w:sz="4" w:space="0"/>
              <w:right w:val="single" w:color="auto" w:sz="4" w:space="0"/>
            </w:tcBorders>
            <w:shd w:val="clear" w:color="auto" w:fill="auto"/>
            <w:vAlign w:val="center"/>
          </w:tcPr>
          <w:p>
            <w:pPr>
              <w:spacing w:line="36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color w:val="auto"/>
                <w:szCs w:val="21"/>
              </w:rPr>
            </w:pPr>
            <w:r>
              <w:rPr>
                <w:rFonts w:hint="eastAsia" w:ascii="宋体" w:hAnsi="宋体" w:cs="宋体"/>
                <w:color w:val="auto"/>
                <w:szCs w:val="21"/>
              </w:rPr>
              <w:t>业绩证明</w:t>
            </w:r>
          </w:p>
        </w:tc>
        <w:tc>
          <w:tcPr>
            <w:tcW w:w="345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宋体" w:cs="宋体"/>
                <w:color w:val="auto"/>
                <w:szCs w:val="21"/>
                <w:highlight w:val="none"/>
              </w:rPr>
            </w:pPr>
            <w:r>
              <w:rPr>
                <w:rFonts w:hint="eastAsia" w:ascii="宋体" w:hAnsi="宋体" w:cs="宋体"/>
                <w:color w:val="auto"/>
                <w:szCs w:val="21"/>
              </w:rPr>
              <w:t>自2021年1月1日以来，投标人或所投产品厂商具有医院协同办公类案例合同</w:t>
            </w:r>
            <w:r>
              <w:rPr>
                <w:rFonts w:hint="eastAsia" w:ascii="宋体" w:hAnsi="宋体" w:cs="宋体"/>
                <w:color w:val="auto"/>
                <w:szCs w:val="21"/>
                <w:highlight w:val="none"/>
              </w:rPr>
              <w:t>，每提供一个得</w:t>
            </w:r>
            <w:r>
              <w:rPr>
                <w:rFonts w:ascii="宋体" w:hAnsi="宋体" w:cs="宋体"/>
                <w:color w:val="auto"/>
                <w:szCs w:val="21"/>
                <w:highlight w:val="none"/>
              </w:rPr>
              <w:t>2</w:t>
            </w:r>
            <w:r>
              <w:rPr>
                <w:rFonts w:hint="eastAsia" w:ascii="宋体" w:hAnsi="宋体" w:cs="宋体"/>
                <w:color w:val="auto"/>
                <w:szCs w:val="21"/>
                <w:highlight w:val="none"/>
              </w:rPr>
              <w:t>分，最多得</w:t>
            </w:r>
            <w:r>
              <w:rPr>
                <w:rFonts w:ascii="宋体" w:hAnsi="宋体" w:cs="宋体"/>
                <w:color w:val="auto"/>
                <w:szCs w:val="21"/>
                <w:highlight w:val="none"/>
              </w:rPr>
              <w:t>4</w:t>
            </w:r>
            <w:r>
              <w:rPr>
                <w:rFonts w:hint="eastAsia" w:ascii="宋体" w:hAnsi="宋体" w:cs="宋体"/>
                <w:color w:val="auto"/>
                <w:szCs w:val="21"/>
                <w:highlight w:val="none"/>
              </w:rPr>
              <w:t>分。</w:t>
            </w:r>
          </w:p>
          <w:p>
            <w:pPr>
              <w:spacing w:line="360" w:lineRule="exact"/>
              <w:rPr>
                <w:rFonts w:ascii="宋体" w:hAnsi="宋体" w:cs="宋体"/>
                <w:color w:val="auto"/>
                <w:szCs w:val="21"/>
              </w:rPr>
            </w:pPr>
            <w:r>
              <w:rPr>
                <w:rFonts w:hint="eastAsia" w:ascii="宋体" w:hAnsi="宋体" w:cs="宋体"/>
                <w:color w:val="auto"/>
                <w:szCs w:val="21"/>
              </w:rPr>
              <w:t>注：须提供合同</w:t>
            </w:r>
            <w:r>
              <w:rPr>
                <w:rFonts w:hint="eastAsia" w:ascii="宋体" w:hAnsi="宋体" w:cs="宋体"/>
                <w:color w:val="auto"/>
                <w:szCs w:val="21"/>
                <w:highlight w:val="none"/>
                <w:lang w:val="en-US" w:eastAsia="zh-CN"/>
              </w:rPr>
              <w:t>复印件加盖公章</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原件中标后备查，</w:t>
            </w:r>
            <w:r>
              <w:rPr>
                <w:rFonts w:hint="eastAsia" w:ascii="宋体" w:hAnsi="宋体" w:cs="宋体"/>
                <w:color w:val="auto"/>
                <w:szCs w:val="21"/>
                <w:highlight w:val="none"/>
              </w:rPr>
              <w:t>未提供不得分</w:t>
            </w:r>
            <w:r>
              <w:rPr>
                <w:rFonts w:hint="eastAsia" w:ascii="宋体" w:hAnsi="宋体" w:cs="宋体"/>
                <w:color w:val="auto"/>
                <w:szCs w:val="21"/>
                <w:highlight w:val="none"/>
                <w:lang w:eastAsia="zh-CN"/>
              </w:rPr>
              <w:t>，</w:t>
            </w:r>
            <w:r>
              <w:rPr>
                <w:rFonts w:hint="eastAsia" w:ascii="宋体" w:hAnsi="宋体" w:cs="宋体"/>
                <w:color w:val="auto"/>
                <w:szCs w:val="21"/>
              </w:rPr>
              <w:t>时间以合同签订时间为准。</w:t>
            </w:r>
          </w:p>
        </w:tc>
        <w:tc>
          <w:tcPr>
            <w:tcW w:w="44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color w:val="auto"/>
                <w:szCs w:val="21"/>
              </w:rPr>
            </w:pPr>
            <w:r>
              <w:rPr>
                <w:rFonts w:ascii="宋体" w:hAnsi="宋体" w:cs="宋体"/>
                <w:color w:val="auto"/>
                <w:szCs w:val="21"/>
              </w:rPr>
              <w:t>4</w:t>
            </w:r>
            <w:r>
              <w:rPr>
                <w:rFonts w:hint="eastAsia" w:ascii="宋体" w:hAnsi="宋体" w:cs="宋体"/>
                <w:color w:val="auto"/>
                <w:szCs w:val="21"/>
              </w:rPr>
              <w:t>分</w:t>
            </w:r>
          </w:p>
        </w:tc>
        <w:tc>
          <w:tcPr>
            <w:tcW w:w="548" w:type="pct"/>
            <w:vMerge w:val="continue"/>
            <w:tcBorders>
              <w:left w:val="single" w:color="auto" w:sz="4" w:space="0"/>
              <w:right w:val="single" w:color="auto" w:sz="4" w:space="0"/>
            </w:tcBorders>
            <w:shd w:val="clear" w:color="auto" w:fill="auto"/>
            <w:vAlign w:val="center"/>
          </w:tcPr>
          <w:p>
            <w:pPr>
              <w:spacing w:line="36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5" w:hRule="atLeast"/>
          <w:jc w:val="center"/>
        </w:trPr>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color w:val="auto"/>
                <w:szCs w:val="21"/>
              </w:rPr>
            </w:pPr>
            <w:r>
              <w:rPr>
                <w:rFonts w:hint="eastAsia" w:ascii="宋体" w:hAnsi="宋体" w:cs="宋体"/>
                <w:color w:val="auto"/>
                <w:szCs w:val="21"/>
              </w:rPr>
              <w:t>所投产品实力</w:t>
            </w:r>
          </w:p>
        </w:tc>
        <w:tc>
          <w:tcPr>
            <w:tcW w:w="3451" w:type="pct"/>
            <w:tcBorders>
              <w:top w:val="single" w:color="auto" w:sz="4" w:space="0"/>
              <w:left w:val="single" w:color="auto" w:sz="4" w:space="0"/>
              <w:bottom w:val="single" w:color="auto" w:sz="4" w:space="0"/>
              <w:right w:val="single" w:color="auto" w:sz="4" w:space="0"/>
            </w:tcBorders>
            <w:shd w:val="clear" w:color="auto" w:fill="auto"/>
          </w:tcPr>
          <w:p>
            <w:pPr>
              <w:spacing w:line="360" w:lineRule="exact"/>
              <w:rPr>
                <w:rFonts w:ascii="宋体" w:hAnsi="宋体" w:cs="宋体"/>
                <w:b/>
                <w:color w:val="auto"/>
                <w:szCs w:val="21"/>
              </w:rPr>
            </w:pPr>
            <w:r>
              <w:rPr>
                <w:rFonts w:hint="eastAsia" w:ascii="宋体" w:hAnsi="宋体" w:cs="宋体"/>
                <w:b/>
                <w:color w:val="auto"/>
                <w:szCs w:val="21"/>
              </w:rPr>
              <w:t>1、投标人或所投产品厂商具有丰富的软件开发技术积累，可提供以下著作权扫描件：</w:t>
            </w:r>
          </w:p>
          <w:p>
            <w:pPr>
              <w:spacing w:line="360" w:lineRule="exact"/>
              <w:rPr>
                <w:rFonts w:hint="eastAsia" w:ascii="宋体" w:hAnsi="宋体" w:eastAsia="宋体" w:cs="宋体"/>
                <w:b/>
                <w:color w:val="auto"/>
                <w:szCs w:val="21"/>
                <w:lang w:eastAsia="zh-CN"/>
              </w:rPr>
            </w:pPr>
            <w:r>
              <w:rPr>
                <w:rFonts w:hint="eastAsia" w:ascii="宋体" w:hAnsi="宋体" w:cs="宋体"/>
                <w:b/>
                <w:color w:val="auto"/>
                <w:szCs w:val="21"/>
              </w:rPr>
              <w:t>（1）协同办公管理著作权证书</w:t>
            </w:r>
            <w:r>
              <w:rPr>
                <w:rFonts w:hint="eastAsia" w:ascii="宋体" w:hAnsi="宋体" w:cs="宋体"/>
                <w:b/>
                <w:color w:val="auto"/>
                <w:szCs w:val="21"/>
                <w:lang w:eastAsia="zh-CN"/>
              </w:rPr>
              <w:t>；</w:t>
            </w:r>
          </w:p>
          <w:p>
            <w:pPr>
              <w:spacing w:line="360" w:lineRule="exact"/>
              <w:rPr>
                <w:rFonts w:hint="eastAsia" w:ascii="宋体" w:hAnsi="宋体" w:eastAsia="宋体" w:cs="宋体"/>
                <w:b/>
                <w:color w:val="auto"/>
                <w:szCs w:val="21"/>
                <w:lang w:eastAsia="zh-CN"/>
              </w:rPr>
            </w:pPr>
            <w:r>
              <w:rPr>
                <w:rFonts w:hint="eastAsia" w:ascii="宋体" w:hAnsi="宋体" w:cs="宋体"/>
                <w:b/>
                <w:color w:val="auto"/>
                <w:szCs w:val="21"/>
              </w:rPr>
              <w:t>（2）低代码平台著作权证书</w:t>
            </w:r>
            <w:r>
              <w:rPr>
                <w:rFonts w:hint="eastAsia" w:ascii="宋体" w:hAnsi="宋体" w:cs="宋体"/>
                <w:b/>
                <w:color w:val="auto"/>
                <w:szCs w:val="21"/>
                <w:lang w:eastAsia="zh-CN"/>
              </w:rPr>
              <w:t>；</w:t>
            </w:r>
          </w:p>
          <w:p>
            <w:pPr>
              <w:spacing w:line="360" w:lineRule="exact"/>
              <w:rPr>
                <w:rFonts w:ascii="宋体" w:hAnsi="宋体" w:cs="宋体"/>
                <w:b/>
                <w:color w:val="auto"/>
                <w:szCs w:val="21"/>
              </w:rPr>
            </w:pPr>
            <w:r>
              <w:rPr>
                <w:rFonts w:hint="eastAsia" w:ascii="宋体" w:hAnsi="宋体" w:cs="宋体"/>
                <w:b/>
                <w:color w:val="auto"/>
                <w:szCs w:val="21"/>
              </w:rPr>
              <w:t>每提供一项得</w:t>
            </w:r>
            <w:r>
              <w:rPr>
                <w:rFonts w:ascii="宋体" w:hAnsi="宋体" w:cs="宋体"/>
                <w:b/>
                <w:color w:val="auto"/>
                <w:szCs w:val="21"/>
              </w:rPr>
              <w:t>2</w:t>
            </w:r>
            <w:r>
              <w:rPr>
                <w:rFonts w:hint="eastAsia" w:ascii="宋体" w:hAnsi="宋体" w:cs="宋体"/>
                <w:b/>
                <w:color w:val="auto"/>
                <w:szCs w:val="21"/>
              </w:rPr>
              <w:t>分，满分</w:t>
            </w:r>
            <w:r>
              <w:rPr>
                <w:rFonts w:hint="eastAsia" w:ascii="宋体" w:hAnsi="宋体" w:cs="宋体"/>
                <w:b/>
                <w:color w:val="auto"/>
                <w:szCs w:val="21"/>
                <w:lang w:val="en-US" w:eastAsia="zh-CN"/>
              </w:rPr>
              <w:t>4</w:t>
            </w:r>
            <w:r>
              <w:rPr>
                <w:rFonts w:hint="eastAsia" w:ascii="宋体" w:hAnsi="宋体" w:cs="宋体"/>
                <w:b/>
                <w:color w:val="auto"/>
                <w:szCs w:val="21"/>
              </w:rPr>
              <w:t>分。</w:t>
            </w:r>
          </w:p>
          <w:p>
            <w:pPr>
              <w:wordWrap w:val="0"/>
              <w:spacing w:line="360" w:lineRule="exact"/>
              <w:rPr>
                <w:rFonts w:ascii="宋体" w:hAnsi="宋体" w:cs="宋体"/>
                <w:b/>
                <w:color w:val="auto"/>
                <w:szCs w:val="21"/>
              </w:rPr>
            </w:pPr>
            <w:r>
              <w:rPr>
                <w:rFonts w:hint="eastAsia" w:ascii="宋体" w:hAnsi="宋体" w:cs="宋体"/>
                <w:b/>
                <w:color w:val="auto"/>
                <w:szCs w:val="21"/>
              </w:rPr>
              <w:t>2、所投产品能与国家信息安全漏洞共享平台（（https://www.cnvd.org.cn/））对接，实时了解与办公系统相关的漏洞补丁，并支持检测漏洞是否被修复。需提供投标人所投产品的页面截图与链接，能提供得</w:t>
            </w:r>
            <w:r>
              <w:rPr>
                <w:rFonts w:ascii="宋体" w:hAnsi="宋体" w:cs="宋体"/>
                <w:b/>
                <w:color w:val="auto"/>
                <w:szCs w:val="21"/>
              </w:rPr>
              <w:t>8</w:t>
            </w:r>
            <w:r>
              <w:rPr>
                <w:rFonts w:hint="eastAsia" w:ascii="宋体" w:hAnsi="宋体" w:cs="宋体"/>
                <w:b/>
                <w:color w:val="auto"/>
                <w:szCs w:val="21"/>
              </w:rPr>
              <w:t>分，未提供不得分。</w:t>
            </w:r>
          </w:p>
          <w:p>
            <w:pPr>
              <w:spacing w:line="360" w:lineRule="exact"/>
              <w:rPr>
                <w:rFonts w:hint="eastAsia" w:ascii="宋体" w:hAnsi="宋体" w:eastAsia="宋体" w:cs="宋体"/>
                <w:color w:val="auto"/>
                <w:szCs w:val="21"/>
                <w:lang w:val="en-US" w:eastAsia="zh-CN"/>
              </w:rPr>
            </w:pPr>
            <w:r>
              <w:rPr>
                <w:rFonts w:hint="eastAsia" w:ascii="宋体" w:hAnsi="宋体" w:cs="宋体"/>
                <w:b/>
                <w:color w:val="auto"/>
                <w:szCs w:val="21"/>
              </w:rPr>
              <w:t>3、所投产品具备公安部监制的三级等保备案证明的得</w:t>
            </w:r>
            <w:r>
              <w:rPr>
                <w:rFonts w:ascii="宋体" w:hAnsi="宋体" w:cs="宋体"/>
                <w:b/>
                <w:color w:val="auto"/>
                <w:szCs w:val="21"/>
              </w:rPr>
              <w:t>6</w:t>
            </w:r>
            <w:r>
              <w:rPr>
                <w:rFonts w:hint="eastAsia" w:ascii="宋体" w:hAnsi="宋体" w:cs="宋体"/>
                <w:b/>
                <w:color w:val="auto"/>
                <w:szCs w:val="21"/>
              </w:rPr>
              <w:t>分，二级得</w:t>
            </w:r>
            <w:r>
              <w:rPr>
                <w:rFonts w:ascii="宋体" w:hAnsi="宋体" w:cs="宋体"/>
                <w:b/>
                <w:color w:val="auto"/>
                <w:szCs w:val="21"/>
              </w:rPr>
              <w:t>3</w:t>
            </w:r>
            <w:r>
              <w:rPr>
                <w:rFonts w:hint="eastAsia" w:ascii="宋体" w:hAnsi="宋体" w:cs="宋体"/>
                <w:b/>
                <w:color w:val="auto"/>
                <w:szCs w:val="21"/>
              </w:rPr>
              <w:t>分</w:t>
            </w:r>
            <w:r>
              <w:rPr>
                <w:rFonts w:hint="eastAsia" w:ascii="宋体" w:hAnsi="宋体" w:cs="宋体"/>
                <w:b/>
                <w:color w:val="auto"/>
                <w:szCs w:val="21"/>
                <w:lang w:eastAsia="zh-CN"/>
              </w:rPr>
              <w:t>。</w:t>
            </w:r>
          </w:p>
        </w:tc>
        <w:tc>
          <w:tcPr>
            <w:tcW w:w="44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rPr>
            </w:pPr>
            <w:r>
              <w:rPr>
                <w:rFonts w:hint="eastAsia"/>
                <w:color w:val="auto"/>
                <w:lang w:val="en-US" w:eastAsia="zh-CN"/>
              </w:rPr>
              <w:t>18</w:t>
            </w:r>
            <w:r>
              <w:rPr>
                <w:rFonts w:hint="eastAsia"/>
                <w:color w:val="auto"/>
              </w:rPr>
              <w:t>分</w:t>
            </w:r>
          </w:p>
        </w:tc>
        <w:tc>
          <w:tcPr>
            <w:tcW w:w="548" w:type="pct"/>
            <w:tcBorders>
              <w:left w:val="single" w:color="auto" w:sz="4" w:space="0"/>
              <w:bottom w:val="single" w:color="auto" w:sz="4" w:space="0"/>
              <w:right w:val="single" w:color="auto" w:sz="4" w:space="0"/>
            </w:tcBorders>
            <w:shd w:val="clear" w:color="auto" w:fill="auto"/>
            <w:vAlign w:val="center"/>
          </w:tcPr>
          <w:p>
            <w:pPr>
              <w:rPr>
                <w:color w:val="auto"/>
              </w:rPr>
            </w:pPr>
            <w:r>
              <w:rPr>
                <w:rFonts w:hint="eastAsia"/>
                <w:color w:val="auto"/>
              </w:rPr>
              <w:t>检验投标文件</w:t>
            </w:r>
          </w:p>
        </w:tc>
      </w:tr>
    </w:tbl>
    <w:p>
      <w:pPr>
        <w:spacing w:line="380" w:lineRule="exact"/>
        <w:ind w:firstLine="405" w:firstLineChars="192"/>
        <w:rPr>
          <w:rFonts w:hint="eastAsia" w:ascii="宋体" w:hAnsi="Times New Roman" w:eastAsia="宋体" w:cs="Times New Roman"/>
          <w:b/>
          <w:bCs/>
          <w:color w:val="auto"/>
          <w:szCs w:val="21"/>
          <w:lang w:eastAsia="zh-CN"/>
        </w:rPr>
      </w:pPr>
      <w:r>
        <w:rPr>
          <w:rFonts w:hint="eastAsia" w:ascii="宋体" w:hAnsi="Times New Roman" w:eastAsia="宋体" w:cs="Times New Roman"/>
          <w:b/>
          <w:bCs/>
          <w:color w:val="auto"/>
          <w:szCs w:val="21"/>
        </w:rPr>
        <w:t>注：</w:t>
      </w:r>
      <w:r>
        <w:rPr>
          <w:rFonts w:hint="eastAsia" w:ascii="宋体" w:hAnsi="Times New Roman" w:eastAsia="宋体" w:cs="Times New Roman"/>
          <w:b/>
          <w:bCs/>
          <w:color w:val="auto"/>
          <w:szCs w:val="21"/>
          <w:lang w:val="en-US" w:eastAsia="zh-CN"/>
        </w:rPr>
        <w:t>1.</w:t>
      </w:r>
      <w:r>
        <w:rPr>
          <w:rFonts w:hint="eastAsia" w:ascii="宋体" w:hAnsi="Times New Roman" w:eastAsia="宋体" w:cs="Times New Roman"/>
          <w:b/>
          <w:bCs/>
          <w:color w:val="auto"/>
          <w:szCs w:val="21"/>
        </w:rPr>
        <w:t>如投标人为分公司参与投标的，所提供的企业资质与人员资质为其所属上一级公司（或分公司）的资质予以认可</w:t>
      </w:r>
      <w:r>
        <w:rPr>
          <w:rFonts w:hint="eastAsia" w:ascii="宋体" w:hAnsi="Times New Roman" w:eastAsia="宋体" w:cs="Times New Roman"/>
          <w:b/>
          <w:bCs/>
          <w:color w:val="auto"/>
          <w:szCs w:val="21"/>
          <w:lang w:eastAsia="zh-CN"/>
        </w:rPr>
        <w:t>；</w:t>
      </w:r>
    </w:p>
    <w:p>
      <w:pPr>
        <w:spacing w:line="380" w:lineRule="exact"/>
        <w:ind w:firstLine="405" w:firstLineChars="192"/>
        <w:rPr>
          <w:rFonts w:hint="eastAsia" w:ascii="宋体" w:hAnsi="Times New Roman" w:eastAsia="宋体" w:cs="Times New Roman"/>
          <w:b/>
          <w:bCs/>
          <w:color w:val="auto"/>
          <w:szCs w:val="21"/>
          <w:lang w:val="en-US" w:eastAsia="zh-CN"/>
        </w:rPr>
      </w:pPr>
      <w:r>
        <w:rPr>
          <w:rFonts w:hint="eastAsia" w:ascii="宋体" w:hAnsi="Times New Roman" w:eastAsia="宋体" w:cs="Times New Roman"/>
          <w:b/>
          <w:bCs/>
          <w:color w:val="auto"/>
          <w:szCs w:val="21"/>
          <w:lang w:val="en-US" w:eastAsia="zh-CN"/>
        </w:rPr>
        <w:t>2.投标人提供的项目业绩只计算评标分值对应的项目数量，按照排列顺序从首个业绩开始评审至对应数量，超出部分不进行评审。对应数量内业绩不符合招标文件要求不得分的，不再补充评审超出部分业绩。如：提供2个业绩即得满分的，按照投标文件排序评审第一、第二项业绩，其余超出部分不再评审。</w:t>
      </w:r>
    </w:p>
    <w:p>
      <w:pPr>
        <w:spacing w:line="320" w:lineRule="exact"/>
        <w:ind w:firstLine="480" w:firstLineChars="200"/>
        <w:rPr>
          <w:rFonts w:ascii="宋体" w:hAnsi="宋体" w:cs="宋体"/>
          <w:color w:val="auto"/>
          <w:sz w:val="24"/>
        </w:rPr>
      </w:pPr>
    </w:p>
    <w:p>
      <w:pPr>
        <w:spacing w:line="320" w:lineRule="exact"/>
        <w:ind w:firstLine="480" w:firstLineChars="200"/>
        <w:rPr>
          <w:rFonts w:ascii="宋体" w:hAnsi="宋体" w:cs="宋体"/>
          <w:color w:val="auto"/>
          <w:sz w:val="24"/>
        </w:rPr>
      </w:pPr>
      <w:r>
        <w:rPr>
          <w:rFonts w:hint="eastAsia" w:ascii="宋体" w:hAnsi="宋体" w:cs="宋体"/>
          <w:color w:val="auto"/>
          <w:sz w:val="24"/>
        </w:rPr>
        <w:t>6.2技术部分（</w:t>
      </w:r>
      <w:r>
        <w:rPr>
          <w:rFonts w:ascii="宋体" w:hAnsi="宋体" w:cs="宋体"/>
          <w:color w:val="auto"/>
          <w:sz w:val="24"/>
        </w:rPr>
        <w:t>4</w:t>
      </w:r>
      <w:r>
        <w:rPr>
          <w:rFonts w:hint="eastAsia" w:ascii="宋体" w:hAnsi="宋体" w:cs="宋体"/>
          <w:color w:val="auto"/>
          <w:sz w:val="24"/>
        </w:rPr>
        <w:t>0分）</w:t>
      </w:r>
    </w:p>
    <w:tbl>
      <w:tblPr>
        <w:tblStyle w:val="51"/>
        <w:tblW w:w="6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6859"/>
        <w:gridCol w:w="87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color w:val="auto"/>
                <w:szCs w:val="21"/>
              </w:rPr>
            </w:pPr>
            <w:r>
              <w:rPr>
                <w:rFonts w:hint="eastAsia" w:ascii="宋体" w:hAnsi="宋体" w:cs="宋体"/>
                <w:color w:val="auto"/>
                <w:szCs w:val="21"/>
              </w:rPr>
              <w:t>评分因素</w:t>
            </w:r>
          </w:p>
        </w:tc>
        <w:tc>
          <w:tcPr>
            <w:tcW w:w="68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color w:val="auto"/>
                <w:szCs w:val="21"/>
              </w:rPr>
            </w:pPr>
            <w:r>
              <w:rPr>
                <w:rFonts w:hint="eastAsia" w:ascii="宋体" w:hAnsi="宋体" w:cs="宋体"/>
                <w:color w:val="auto"/>
                <w:szCs w:val="21"/>
              </w:rPr>
              <w:t>评审标准</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color w:val="auto"/>
              </w:rPr>
            </w:pPr>
            <w:r>
              <w:rPr>
                <w:rFonts w:hint="eastAsia" w:ascii="宋体" w:hAnsi="宋体" w:cs="宋体"/>
                <w:color w:val="auto"/>
                <w:szCs w:val="21"/>
              </w:rPr>
              <w:t>分值</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color w:val="auto"/>
              </w:rPr>
            </w:pPr>
            <w:r>
              <w:rPr>
                <w:rFonts w:hint="eastAsia" w:ascii="宋体" w:hAnsi="宋体" w:cs="宋体"/>
                <w:color w:val="auto"/>
                <w:szCs w:val="21"/>
              </w:rPr>
              <w:t>须提供的证明材料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宋体" w:cs="宋体"/>
                <w:color w:val="auto"/>
                <w:szCs w:val="21"/>
              </w:rPr>
            </w:pPr>
            <w:r>
              <w:rPr>
                <w:rFonts w:hint="eastAsia" w:ascii="宋体" w:hAnsi="宋体" w:cs="宋体"/>
                <w:color w:val="auto"/>
                <w:szCs w:val="21"/>
              </w:rPr>
              <w:t>系统演示</w:t>
            </w:r>
          </w:p>
        </w:tc>
        <w:tc>
          <w:tcPr>
            <w:tcW w:w="68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宋体" w:cs="宋体"/>
                <w:color w:val="auto"/>
                <w:szCs w:val="21"/>
              </w:rPr>
            </w:pPr>
            <w:r>
              <w:rPr>
                <w:rFonts w:hint="eastAsia" w:ascii="宋体" w:hAnsi="宋体" w:cs="宋体"/>
                <w:color w:val="auto"/>
                <w:szCs w:val="21"/>
              </w:rPr>
              <w:t>1、基础功能演示（35分）：</w:t>
            </w:r>
          </w:p>
          <w:p>
            <w:pPr>
              <w:spacing w:line="360" w:lineRule="exact"/>
              <w:rPr>
                <w:color w:val="auto"/>
              </w:rPr>
            </w:pPr>
            <w:r>
              <w:rPr>
                <w:rFonts w:hint="eastAsia" w:ascii="宋体" w:hAnsi="宋体" w:cs="宋体"/>
                <w:color w:val="auto"/>
                <w:szCs w:val="21"/>
              </w:rPr>
              <w:t>根据招标人梳理的需求，随机抽取35个带“▲”项进行演示，评审小组根据</w:t>
            </w:r>
            <w:r>
              <w:rPr>
                <w:rFonts w:hint="eastAsia"/>
                <w:b/>
                <w:bCs/>
                <w:color w:val="auto"/>
              </w:rPr>
              <w:t>每条</w:t>
            </w:r>
            <w:r>
              <w:rPr>
                <w:rFonts w:hint="eastAsia"/>
                <w:color w:val="auto"/>
              </w:rPr>
              <w:t>系统功能演示进行横向综合打分，每条1分，满分35分：</w:t>
            </w:r>
          </w:p>
          <w:p>
            <w:pPr>
              <w:spacing w:line="360" w:lineRule="exact"/>
              <w:rPr>
                <w:rFonts w:ascii="宋体" w:hAnsi="宋体" w:cs="宋体"/>
                <w:color w:val="auto"/>
                <w:szCs w:val="21"/>
              </w:rPr>
            </w:pPr>
            <w:r>
              <w:rPr>
                <w:rFonts w:hint="eastAsia" w:ascii="宋体" w:hAnsi="宋体" w:cs="宋体"/>
                <w:color w:val="auto"/>
                <w:szCs w:val="21"/>
              </w:rPr>
              <w:t>（1）功能全面合理，完全满足实际使用要求，界面设计清晰明的得1分；</w:t>
            </w:r>
          </w:p>
          <w:p>
            <w:pPr>
              <w:spacing w:line="360" w:lineRule="exact"/>
              <w:rPr>
                <w:rFonts w:ascii="宋体" w:hAnsi="宋体" w:cs="宋体"/>
                <w:color w:val="auto"/>
                <w:szCs w:val="21"/>
              </w:rPr>
            </w:pPr>
            <w:r>
              <w:rPr>
                <w:rFonts w:hint="eastAsia" w:ascii="宋体" w:hAnsi="宋体" w:cs="宋体"/>
                <w:color w:val="auto"/>
                <w:szCs w:val="21"/>
              </w:rPr>
              <w:t>（2）功能基本合理，基本满足使用需求，使用界面略显复杂的得0.7分；</w:t>
            </w:r>
          </w:p>
          <w:p>
            <w:pPr>
              <w:spacing w:line="360" w:lineRule="exact"/>
              <w:rPr>
                <w:rFonts w:ascii="宋体" w:hAnsi="宋体" w:cs="宋体"/>
                <w:color w:val="auto"/>
                <w:szCs w:val="21"/>
              </w:rPr>
            </w:pPr>
            <w:r>
              <w:rPr>
                <w:rFonts w:hint="eastAsia" w:ascii="宋体" w:hAnsi="宋体" w:cs="宋体"/>
                <w:color w:val="auto"/>
                <w:szCs w:val="21"/>
              </w:rPr>
              <w:t>（3）功能演示不够全面，整体有待完善的得0.4分；</w:t>
            </w:r>
          </w:p>
          <w:p>
            <w:pPr>
              <w:spacing w:line="360" w:lineRule="exact"/>
              <w:rPr>
                <w:rFonts w:ascii="宋体" w:hAnsi="宋体" w:cs="宋体"/>
                <w:color w:val="auto"/>
                <w:szCs w:val="21"/>
              </w:rPr>
            </w:pPr>
            <w:r>
              <w:rPr>
                <w:rFonts w:hint="eastAsia" w:ascii="宋体" w:hAnsi="宋体" w:cs="宋体"/>
                <w:color w:val="auto"/>
                <w:szCs w:val="21"/>
              </w:rPr>
              <w:t>（4）未提供演示的不得分。</w:t>
            </w:r>
          </w:p>
          <w:p>
            <w:pPr>
              <w:spacing w:line="360" w:lineRule="exact"/>
              <w:rPr>
                <w:rFonts w:ascii="宋体" w:hAnsi="宋体" w:cs="宋体"/>
                <w:color w:val="auto"/>
                <w:szCs w:val="21"/>
              </w:rPr>
            </w:pPr>
            <w:r>
              <w:rPr>
                <w:rFonts w:hint="eastAsia" w:ascii="宋体" w:hAnsi="宋体" w:cs="宋体"/>
                <w:color w:val="auto"/>
                <w:szCs w:val="21"/>
              </w:rPr>
              <w:t>2、扩展功能演示（5分）：</w:t>
            </w:r>
          </w:p>
          <w:p>
            <w:pPr>
              <w:spacing w:line="360" w:lineRule="exact"/>
              <w:rPr>
                <w:rFonts w:ascii="宋体" w:hAnsi="宋体" w:cs="宋体"/>
                <w:color w:val="auto"/>
                <w:szCs w:val="21"/>
              </w:rPr>
            </w:pPr>
            <w:r>
              <w:rPr>
                <w:rFonts w:hint="eastAsia" w:ascii="宋体" w:hAnsi="宋体" w:cs="宋体"/>
                <w:color w:val="auto"/>
                <w:szCs w:val="21"/>
              </w:rPr>
              <w:t>投标人对医院未来可能在OA中会启用的扩展功能进行演示，随机抽取5个带“●”项进行功能演示，评审小组根据</w:t>
            </w:r>
            <w:r>
              <w:rPr>
                <w:rFonts w:hint="eastAsia"/>
                <w:color w:val="auto"/>
              </w:rPr>
              <w:t>每条系统功能演示进行横向综合打分，每条1分，</w:t>
            </w:r>
            <w:r>
              <w:rPr>
                <w:rFonts w:hint="eastAsia" w:ascii="宋体" w:hAnsi="宋体" w:cs="宋体"/>
                <w:color w:val="auto"/>
                <w:szCs w:val="21"/>
              </w:rPr>
              <w:t>满分5分。</w:t>
            </w:r>
          </w:p>
          <w:p>
            <w:pPr>
              <w:spacing w:line="360" w:lineRule="exact"/>
              <w:rPr>
                <w:rFonts w:ascii="宋体" w:hAnsi="宋体" w:cs="宋体"/>
                <w:color w:val="auto"/>
                <w:szCs w:val="21"/>
              </w:rPr>
            </w:pPr>
            <w:r>
              <w:rPr>
                <w:rFonts w:hint="eastAsia" w:ascii="宋体" w:hAnsi="宋体" w:cs="宋体"/>
                <w:color w:val="auto"/>
                <w:szCs w:val="21"/>
              </w:rPr>
              <w:t>（1）能够完全满足采购人实际使用需求，且合理、完善的得1分；</w:t>
            </w:r>
          </w:p>
          <w:p>
            <w:pPr>
              <w:spacing w:line="360" w:lineRule="exact"/>
              <w:rPr>
                <w:rFonts w:ascii="宋体" w:hAnsi="宋体" w:cs="宋体"/>
                <w:color w:val="auto"/>
                <w:szCs w:val="21"/>
              </w:rPr>
            </w:pPr>
            <w:r>
              <w:rPr>
                <w:rFonts w:hint="eastAsia" w:ascii="宋体" w:hAnsi="宋体" w:cs="宋体"/>
                <w:color w:val="auto"/>
                <w:szCs w:val="21"/>
              </w:rPr>
              <w:t>（2）满足采购人实际使用需求，基本合理的得0.7分；</w:t>
            </w:r>
          </w:p>
          <w:p>
            <w:pPr>
              <w:spacing w:line="360" w:lineRule="exact"/>
              <w:rPr>
                <w:rFonts w:ascii="宋体" w:hAnsi="宋体" w:cs="宋体"/>
                <w:color w:val="auto"/>
                <w:szCs w:val="21"/>
              </w:rPr>
            </w:pPr>
            <w:r>
              <w:rPr>
                <w:rFonts w:hint="eastAsia" w:ascii="宋体" w:hAnsi="宋体" w:cs="宋体"/>
                <w:color w:val="auto"/>
                <w:szCs w:val="21"/>
              </w:rPr>
              <w:t>（3）功能演示不全，有待完善的得0.4分；</w:t>
            </w:r>
          </w:p>
          <w:p>
            <w:pPr>
              <w:spacing w:line="360" w:lineRule="exact"/>
              <w:rPr>
                <w:color w:val="auto"/>
              </w:rPr>
            </w:pPr>
            <w:r>
              <w:rPr>
                <w:rFonts w:hint="eastAsia" w:ascii="宋体" w:hAnsi="宋体" w:cs="宋体"/>
                <w:color w:val="auto"/>
                <w:szCs w:val="21"/>
              </w:rPr>
              <w:t>（4）未提供演示的不得分。</w:t>
            </w:r>
          </w:p>
          <w:p>
            <w:pPr>
              <w:spacing w:line="440" w:lineRule="exact"/>
              <w:rPr>
                <w:rFonts w:cs="宋体"/>
                <w:b/>
                <w:bCs/>
                <w:color w:val="auto"/>
              </w:rPr>
            </w:pPr>
            <w:r>
              <w:rPr>
                <w:rFonts w:hint="eastAsia" w:ascii="宋体" w:hAnsi="宋体" w:cs="宋体"/>
                <w:b/>
                <w:bCs/>
                <w:color w:val="auto"/>
                <w:szCs w:val="21"/>
              </w:rPr>
              <w:t>注</w:t>
            </w:r>
            <w:r>
              <w:rPr>
                <w:rFonts w:hint="eastAsia" w:cs="宋体"/>
                <w:b/>
                <w:bCs/>
                <w:color w:val="auto"/>
              </w:rPr>
              <w:t>：1.投标人须自行携带演示设备进行演示及功能解说，自行保证演示过程清晰流畅；如因投标人自身原因导致无法演示或无法评审，由此引起的不良后果由投标人自行承担；</w:t>
            </w:r>
          </w:p>
          <w:p>
            <w:pPr>
              <w:spacing w:line="440" w:lineRule="exact"/>
              <w:rPr>
                <w:color w:val="auto"/>
              </w:rPr>
            </w:pPr>
            <w:r>
              <w:rPr>
                <w:rFonts w:hint="eastAsia" w:cs="宋体"/>
                <w:b/>
                <w:bCs/>
                <w:color w:val="auto"/>
              </w:rPr>
              <w:t>2.演示形式不得为录屏或视频格式。</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rPr>
            </w:pPr>
            <w:r>
              <w:rPr>
                <w:rFonts w:hint="eastAsia"/>
                <w:color w:val="auto"/>
              </w:rPr>
              <w:t>40分</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rPr>
            </w:pPr>
            <w:r>
              <w:rPr>
                <w:rFonts w:hint="eastAsia"/>
                <w:color w:val="auto"/>
              </w:rPr>
              <w:t>现场显示</w:t>
            </w:r>
          </w:p>
        </w:tc>
      </w:tr>
    </w:tbl>
    <w:p>
      <w:pPr>
        <w:spacing w:line="320" w:lineRule="exact"/>
        <w:ind w:firstLine="480" w:firstLineChars="200"/>
        <w:rPr>
          <w:rFonts w:ascii="宋体" w:hAnsi="宋体" w:cs="宋体"/>
          <w:color w:val="auto"/>
          <w:sz w:val="24"/>
        </w:rPr>
      </w:pPr>
    </w:p>
    <w:p>
      <w:pPr>
        <w:spacing w:line="320" w:lineRule="exact"/>
        <w:ind w:firstLine="480" w:firstLineChars="200"/>
        <w:rPr>
          <w:rFonts w:ascii="宋体" w:hAnsi="宋体" w:cs="宋体"/>
          <w:color w:val="auto"/>
          <w:sz w:val="24"/>
        </w:rPr>
      </w:pPr>
      <w:r>
        <w:rPr>
          <w:rFonts w:hint="eastAsia" w:ascii="宋体" w:hAnsi="宋体" w:cs="宋体"/>
          <w:color w:val="auto"/>
          <w:sz w:val="24"/>
        </w:rPr>
        <w:t>6.3商务部分（</w:t>
      </w:r>
      <w:r>
        <w:rPr>
          <w:rFonts w:ascii="宋体" w:hAnsi="宋体" w:cs="宋体"/>
          <w:color w:val="auto"/>
          <w:sz w:val="24"/>
        </w:rPr>
        <w:t>2</w:t>
      </w:r>
      <w:r>
        <w:rPr>
          <w:rFonts w:hint="eastAsia" w:ascii="宋体" w:hAnsi="宋体" w:cs="宋体"/>
          <w:color w:val="auto"/>
          <w:sz w:val="24"/>
        </w:rPr>
        <w:t>0分）</w:t>
      </w:r>
    </w:p>
    <w:tbl>
      <w:tblPr>
        <w:tblStyle w:val="51"/>
        <w:tblW w:w="9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7588"/>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jc w:val="center"/>
        </w:trPr>
        <w:tc>
          <w:tcPr>
            <w:tcW w:w="12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auto"/>
                <w:sz w:val="24"/>
              </w:rPr>
            </w:pPr>
            <w:r>
              <w:rPr>
                <w:rFonts w:hint="eastAsia" w:ascii="宋体" w:hAnsi="宋体" w:cs="宋体"/>
                <w:b/>
                <w:color w:val="auto"/>
                <w:sz w:val="24"/>
              </w:rPr>
              <w:t>评审项目</w:t>
            </w:r>
          </w:p>
        </w:tc>
        <w:tc>
          <w:tcPr>
            <w:tcW w:w="75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auto"/>
                <w:sz w:val="24"/>
              </w:rPr>
            </w:pPr>
            <w:r>
              <w:rPr>
                <w:rFonts w:hint="eastAsia" w:ascii="宋体" w:hAnsi="宋体" w:cs="宋体"/>
                <w:b/>
                <w:color w:val="auto"/>
                <w:sz w:val="24"/>
              </w:rPr>
              <w:t>评审内容</w:t>
            </w:r>
          </w:p>
        </w:tc>
        <w:tc>
          <w:tcPr>
            <w:tcW w:w="9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auto"/>
                <w:sz w:val="24"/>
              </w:rPr>
            </w:pPr>
            <w:r>
              <w:rPr>
                <w:rFonts w:hint="eastAsia" w:ascii="宋体" w:hAnsi="宋体" w:cs="宋体"/>
                <w:b/>
                <w:color w:val="auto"/>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92" w:type="dxa"/>
            <w:tcBorders>
              <w:top w:val="single" w:color="auto" w:sz="4" w:space="0"/>
              <w:left w:val="single" w:color="auto" w:sz="4" w:space="0"/>
              <w:right w:val="single" w:color="auto" w:sz="4" w:space="0"/>
            </w:tcBorders>
            <w:vAlign w:val="center"/>
          </w:tcPr>
          <w:p>
            <w:pPr>
              <w:spacing w:line="400" w:lineRule="exact"/>
              <w:jc w:val="center"/>
              <w:textAlignment w:val="center"/>
              <w:rPr>
                <w:rFonts w:ascii="宋体" w:hAnsi="宋体"/>
                <w:b/>
                <w:bCs/>
                <w:color w:val="auto"/>
                <w:szCs w:val="21"/>
              </w:rPr>
            </w:pPr>
            <w:r>
              <w:rPr>
                <w:rFonts w:hint="eastAsia" w:ascii="宋体" w:hAnsi="宋体"/>
                <w:b/>
                <w:bCs/>
                <w:color w:val="auto"/>
                <w:szCs w:val="21"/>
              </w:rPr>
              <w:t>报  价</w:t>
            </w:r>
          </w:p>
        </w:tc>
        <w:tc>
          <w:tcPr>
            <w:tcW w:w="758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
                <w:bCs/>
                <w:color w:val="auto"/>
                <w:szCs w:val="21"/>
              </w:rPr>
            </w:pPr>
            <w:r>
              <w:rPr>
                <w:rFonts w:hint="eastAsia" w:ascii="宋体" w:hAnsi="宋体" w:cs="宋体"/>
                <w:b/>
                <w:bCs/>
                <w:color w:val="auto"/>
                <w:szCs w:val="21"/>
              </w:rPr>
              <w:t>采购人设置投标报价最高限价（10万元/年），各投标人有效总报价不得高于最高限价，否则，其投标文件按无效标处理。</w:t>
            </w:r>
          </w:p>
          <w:p>
            <w:pPr>
              <w:spacing w:line="360" w:lineRule="exact"/>
              <w:rPr>
                <w:rFonts w:ascii="宋体" w:hAnsi="宋体" w:cs="宋体"/>
                <w:b/>
                <w:bCs/>
                <w:color w:val="auto"/>
                <w:szCs w:val="21"/>
              </w:rPr>
            </w:pPr>
            <w:r>
              <w:rPr>
                <w:rFonts w:hint="eastAsia" w:ascii="宋体" w:hAnsi="宋体" w:cs="宋体"/>
                <w:b/>
                <w:bCs/>
                <w:color w:val="auto"/>
                <w:szCs w:val="21"/>
              </w:rPr>
              <w:t>注：本项分为两部分报价，第一部分为协同办公平台报价，第二部分为政务云存储服务。</w:t>
            </w:r>
          </w:p>
          <w:p>
            <w:pPr>
              <w:spacing w:line="360" w:lineRule="exact"/>
              <w:rPr>
                <w:rFonts w:ascii="宋体" w:hAnsi="宋体" w:cs="宋体"/>
                <w:color w:val="auto"/>
                <w:szCs w:val="21"/>
              </w:rPr>
            </w:pPr>
            <w:r>
              <w:rPr>
                <w:rFonts w:hint="eastAsia" w:ascii="宋体" w:hAnsi="宋体" w:cs="宋体"/>
                <w:color w:val="auto"/>
                <w:szCs w:val="21"/>
              </w:rPr>
              <w:t>1、两部分报价满分均为1</w:t>
            </w:r>
            <w:r>
              <w:rPr>
                <w:rFonts w:ascii="宋体" w:hAnsi="宋体" w:cs="宋体"/>
                <w:color w:val="auto"/>
                <w:szCs w:val="21"/>
              </w:rPr>
              <w:t>0</w:t>
            </w:r>
            <w:r>
              <w:rPr>
                <w:rFonts w:hint="eastAsia" w:ascii="宋体" w:hAnsi="宋体" w:cs="宋体"/>
                <w:color w:val="auto"/>
                <w:szCs w:val="21"/>
              </w:rPr>
              <w:t>分；</w:t>
            </w:r>
          </w:p>
          <w:p>
            <w:pPr>
              <w:spacing w:line="360" w:lineRule="exact"/>
              <w:rPr>
                <w:rFonts w:ascii="宋体" w:hAnsi="宋体" w:cs="宋体"/>
                <w:color w:val="auto"/>
                <w:szCs w:val="21"/>
              </w:rPr>
            </w:pPr>
            <w:r>
              <w:rPr>
                <w:rFonts w:hint="eastAsia" w:ascii="宋体" w:hAnsi="宋体" w:cs="宋体"/>
                <w:color w:val="auto"/>
                <w:szCs w:val="21"/>
              </w:rPr>
              <w:t>2、评标基准价=所有效投标人的最低报价，其得分为满分；</w:t>
            </w:r>
          </w:p>
          <w:p>
            <w:pPr>
              <w:spacing w:line="360" w:lineRule="exact"/>
              <w:rPr>
                <w:rFonts w:ascii="宋体" w:hAnsi="宋体" w:cs="宋体"/>
                <w:color w:val="auto"/>
                <w:szCs w:val="21"/>
              </w:rPr>
            </w:pPr>
            <w:r>
              <w:rPr>
                <w:rFonts w:hint="eastAsia" w:ascii="宋体" w:hAnsi="宋体" w:cs="宋体"/>
                <w:color w:val="auto"/>
                <w:szCs w:val="21"/>
              </w:rPr>
              <w:t>3、各部分报价得分=评标基准价/投标报价*1</w:t>
            </w:r>
            <w:r>
              <w:rPr>
                <w:rFonts w:ascii="宋体" w:hAnsi="宋体" w:cs="宋体"/>
                <w:color w:val="auto"/>
                <w:szCs w:val="21"/>
              </w:rPr>
              <w:t>0</w:t>
            </w:r>
            <w:r>
              <w:rPr>
                <w:rFonts w:hint="eastAsia" w:ascii="宋体" w:hAnsi="宋体" w:cs="宋体"/>
                <w:color w:val="auto"/>
                <w:szCs w:val="21"/>
              </w:rPr>
              <w:t>分（小数点后保留两位小数，第三位四舍五入）；</w:t>
            </w:r>
          </w:p>
          <w:p>
            <w:pPr>
              <w:spacing w:line="360" w:lineRule="exact"/>
              <w:rPr>
                <w:rFonts w:ascii="宋体" w:hAnsi="宋体" w:cs="宋体"/>
                <w:color w:val="auto"/>
                <w:szCs w:val="21"/>
              </w:rPr>
            </w:pPr>
            <w:r>
              <w:rPr>
                <w:rFonts w:hint="eastAsia" w:ascii="宋体" w:hAnsi="宋体" w:cs="宋体"/>
                <w:b/>
                <w:bCs/>
                <w:color w:val="auto"/>
                <w:szCs w:val="21"/>
              </w:rPr>
              <w:t>4、商务标总得分=协同办公平台报价得分+政务云存储服务得分；</w:t>
            </w:r>
          </w:p>
        </w:tc>
        <w:tc>
          <w:tcPr>
            <w:tcW w:w="9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0分</w:t>
            </w:r>
          </w:p>
        </w:tc>
      </w:tr>
    </w:tbl>
    <w:p>
      <w:pPr>
        <w:overflowPunct w:val="0"/>
        <w:adjustRightInd w:val="0"/>
        <w:snapToGrid w:val="0"/>
        <w:spacing w:line="440" w:lineRule="exact"/>
        <w:ind w:firstLine="498" w:firstLineChars="236"/>
        <w:rPr>
          <w:b/>
          <w:color w:val="auto"/>
          <w:szCs w:val="21"/>
        </w:rPr>
      </w:pPr>
      <w:r>
        <w:rPr>
          <w:rFonts w:hint="eastAsia"/>
          <w:b/>
          <w:color w:val="auto"/>
          <w:szCs w:val="21"/>
        </w:rPr>
        <w:t>特别说明：1.政务云存储服务（含单价）不得超过滁州市政务云的单价；</w:t>
      </w:r>
    </w:p>
    <w:p>
      <w:pPr>
        <w:overflowPunct w:val="0"/>
        <w:adjustRightInd w:val="0"/>
        <w:snapToGrid w:val="0"/>
        <w:spacing w:line="440" w:lineRule="exact"/>
        <w:ind w:firstLine="498" w:firstLineChars="236"/>
        <w:rPr>
          <w:b/>
          <w:color w:val="auto"/>
          <w:szCs w:val="21"/>
        </w:rPr>
      </w:pPr>
      <w:r>
        <w:rPr>
          <w:rFonts w:hint="eastAsia"/>
          <w:b/>
          <w:color w:val="auto"/>
          <w:szCs w:val="21"/>
        </w:rPr>
        <w:t>2.分项报价清单后须</w:t>
      </w:r>
      <w:r>
        <w:rPr>
          <w:b/>
          <w:color w:val="auto"/>
          <w:szCs w:val="21"/>
        </w:rPr>
        <w:t>附政务云配置清单</w:t>
      </w:r>
      <w:r>
        <w:rPr>
          <w:rFonts w:hint="eastAsia"/>
          <w:b/>
          <w:color w:val="auto"/>
          <w:szCs w:val="21"/>
        </w:rPr>
        <w:t>及报价作为凭证；</w:t>
      </w:r>
    </w:p>
    <w:p>
      <w:pPr>
        <w:overflowPunct w:val="0"/>
        <w:adjustRightInd w:val="0"/>
        <w:snapToGrid w:val="0"/>
        <w:spacing w:line="440" w:lineRule="exact"/>
        <w:ind w:firstLine="498" w:firstLineChars="236"/>
        <w:rPr>
          <w:b/>
          <w:color w:val="auto"/>
          <w:szCs w:val="21"/>
        </w:rPr>
      </w:pPr>
      <w:r>
        <w:rPr>
          <w:rFonts w:hint="eastAsia"/>
          <w:b/>
          <w:color w:val="auto"/>
          <w:szCs w:val="21"/>
        </w:rPr>
        <w:t>3.以上分值均保留二位小数，小数点后第三位四舍五入</w:t>
      </w:r>
    </w:p>
    <w:p>
      <w:pPr>
        <w:spacing w:line="400" w:lineRule="exact"/>
        <w:jc w:val="center"/>
        <w:outlineLvl w:val="1"/>
        <w:rPr>
          <w:rFonts w:ascii="宋体"/>
          <w:b/>
          <w:color w:val="auto"/>
          <w:sz w:val="24"/>
        </w:rPr>
      </w:pPr>
      <w:bookmarkStart w:id="583" w:name="_Hlk91343611"/>
      <w:r>
        <w:rPr>
          <w:rFonts w:hint="eastAsia" w:ascii="宋体"/>
          <w:b/>
          <w:color w:val="auto"/>
          <w:sz w:val="24"/>
        </w:rPr>
        <w:t>五、推荐中标候选人</w:t>
      </w:r>
    </w:p>
    <w:p>
      <w:pPr>
        <w:snapToGrid w:val="0"/>
        <w:spacing w:line="440" w:lineRule="exact"/>
        <w:ind w:firstLine="570"/>
        <w:jc w:val="left"/>
        <w:rPr>
          <w:rFonts w:ascii="宋体"/>
          <w:color w:val="auto"/>
          <w:szCs w:val="21"/>
        </w:rPr>
      </w:pPr>
      <w:r>
        <w:rPr>
          <w:rFonts w:hint="eastAsia" w:ascii="宋体"/>
          <w:color w:val="auto"/>
          <w:szCs w:val="21"/>
        </w:rPr>
        <w:t>7.评标委员会按资信、技术和商务得分之和，从高到低按顺序，</w:t>
      </w:r>
      <w:r>
        <w:rPr>
          <w:rFonts w:hint="eastAsia" w:ascii="宋体" w:hAnsi="宋体"/>
          <w:color w:val="auto"/>
          <w:szCs w:val="21"/>
        </w:rPr>
        <w:t>根据第二章投标人须知及前附表的规定数量推荐中标候选人</w:t>
      </w:r>
      <w:r>
        <w:rPr>
          <w:rFonts w:hint="eastAsia" w:ascii="宋体"/>
          <w:color w:val="auto"/>
          <w:szCs w:val="21"/>
        </w:rPr>
        <w:t>。</w:t>
      </w:r>
    </w:p>
    <w:p>
      <w:pPr>
        <w:snapToGrid w:val="0"/>
        <w:spacing w:line="440" w:lineRule="exact"/>
        <w:ind w:firstLine="570"/>
        <w:jc w:val="left"/>
        <w:rPr>
          <w:rFonts w:ascii="宋体"/>
          <w:color w:val="auto"/>
          <w:szCs w:val="21"/>
        </w:rPr>
      </w:pPr>
      <w:r>
        <w:rPr>
          <w:rFonts w:hint="eastAsia" w:ascii="宋体"/>
          <w:color w:val="auto"/>
          <w:szCs w:val="21"/>
        </w:rPr>
        <w:t>7.1得分相同的，按投标报价由低到高顺序排列。得分且报价相同的并列，由采购人现场采取随机摇号的方式确定中标候选人。</w:t>
      </w:r>
    </w:p>
    <w:p>
      <w:pPr>
        <w:snapToGrid w:val="0"/>
        <w:spacing w:line="440" w:lineRule="exact"/>
        <w:ind w:firstLine="570"/>
        <w:jc w:val="left"/>
        <w:rPr>
          <w:rFonts w:ascii="宋体"/>
          <w:color w:val="auto"/>
          <w:szCs w:val="21"/>
        </w:rPr>
      </w:pPr>
      <w:r>
        <w:rPr>
          <w:rFonts w:hint="eastAsia" w:ascii="宋体"/>
          <w:color w:val="auto"/>
          <w:szCs w:val="21"/>
        </w:rPr>
        <w:t>7.2在同等条件、同等价格的情况下，所投产品为节能产品、环境标志产品或节能产品、环境标志产品数量多者优先。</w:t>
      </w:r>
    </w:p>
    <w:p>
      <w:pPr>
        <w:snapToGrid w:val="0"/>
        <w:spacing w:line="440" w:lineRule="exact"/>
        <w:ind w:firstLine="570"/>
        <w:rPr>
          <w:rFonts w:ascii="宋体"/>
          <w:b/>
          <w:color w:val="auto"/>
          <w:szCs w:val="21"/>
        </w:rPr>
      </w:pPr>
      <w:r>
        <w:rPr>
          <w:rFonts w:hint="eastAsia" w:ascii="宋体"/>
          <w:b/>
          <w:color w:val="auto"/>
          <w:szCs w:val="21"/>
        </w:rPr>
        <w:t>8.</w:t>
      </w:r>
      <w:r>
        <w:rPr>
          <w:rFonts w:hint="eastAsia" w:ascii="宋体" w:hAnsi="宋体"/>
          <w:b/>
          <w:color w:val="auto"/>
          <w:sz w:val="24"/>
        </w:rPr>
        <w:t xml:space="preserve"> </w:t>
      </w:r>
      <w:bookmarkStart w:id="584" w:name="_Hlk61815781"/>
      <w:r>
        <w:rPr>
          <w:rFonts w:hint="eastAsia" w:ascii="宋体"/>
          <w:b/>
          <w:color w:val="auto"/>
          <w:szCs w:val="21"/>
        </w:rPr>
        <w:t>无效投标条款</w:t>
      </w:r>
    </w:p>
    <w:p>
      <w:pPr>
        <w:snapToGrid w:val="0"/>
        <w:spacing w:line="440" w:lineRule="exact"/>
        <w:ind w:firstLine="525" w:firstLineChars="250"/>
        <w:rPr>
          <w:rFonts w:ascii="宋体" w:cs="宋体"/>
          <w:color w:val="auto"/>
          <w:szCs w:val="21"/>
        </w:rPr>
      </w:pPr>
      <w:r>
        <w:rPr>
          <w:rFonts w:hint="eastAsia" w:ascii="宋体" w:cs="宋体"/>
          <w:color w:val="auto"/>
          <w:szCs w:val="21"/>
        </w:rPr>
        <w:t>8.1投标文件有下列情形之一的,其投标文件拒收:</w:t>
      </w:r>
    </w:p>
    <w:p>
      <w:pPr>
        <w:snapToGrid w:val="0"/>
        <w:spacing w:line="440" w:lineRule="exact"/>
        <w:ind w:firstLine="420"/>
        <w:rPr>
          <w:rFonts w:ascii="宋体" w:hAnsi="宋体" w:cs="宋体"/>
          <w:b/>
          <w:bCs/>
          <w:color w:val="auto"/>
          <w:szCs w:val="21"/>
        </w:rPr>
      </w:pPr>
      <w:r>
        <w:rPr>
          <w:rFonts w:hint="eastAsia" w:ascii="宋体" w:cs="宋体"/>
          <w:color w:val="auto"/>
          <w:szCs w:val="21"/>
        </w:rPr>
        <w:t xml:space="preserve"> </w:t>
      </w:r>
      <w:r>
        <w:rPr>
          <w:rFonts w:hint="eastAsia" w:ascii="宋体" w:hAnsi="宋体" w:cs="宋体"/>
          <w:b/>
          <w:bCs/>
          <w:color w:val="auto"/>
          <w:szCs w:val="21"/>
        </w:rPr>
        <w:t xml:space="preserve"> 未在开标截止时间前递交投标文件的，不予接收，投标将被拒绝。</w:t>
      </w:r>
    </w:p>
    <w:p>
      <w:pPr>
        <w:snapToGrid w:val="0"/>
        <w:spacing w:line="440" w:lineRule="exact"/>
        <w:ind w:firstLine="420"/>
        <w:rPr>
          <w:rFonts w:ascii="宋体" w:hAnsi="宋体" w:cs="宋体"/>
          <w:color w:val="auto"/>
          <w:szCs w:val="21"/>
        </w:rPr>
      </w:pPr>
      <w:r>
        <w:rPr>
          <w:rFonts w:hint="eastAsia" w:ascii="宋体" w:hAnsi="宋体" w:cs="宋体"/>
          <w:color w:val="auto"/>
          <w:szCs w:val="21"/>
        </w:rPr>
        <w:t>8.2投标人有下列情形之一的,资格审查后其投标作无效投标处理：</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(1)投标人为本项目提供招标代理服务的；</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(2)投标人与在本项目代理机构存在相互任职或工作的；</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(3)被暂停营业的；</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(4)被暂停或取消投标资格的；</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(5)财产被接管或冻结的；</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(6)投标人单位负责人为同一人或者存在控股、管理关系的不同单位的；</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(7) 投标人基本资格条件和特定资格条件中有一项及以上不符合要求的；</w:t>
      </w:r>
    </w:p>
    <w:p>
      <w:pPr>
        <w:snapToGrid w:val="0"/>
        <w:spacing w:line="440" w:lineRule="exact"/>
        <w:ind w:firstLine="420" w:firstLineChars="200"/>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8</w:t>
      </w:r>
      <w:r>
        <w:rPr>
          <w:rFonts w:ascii="宋体" w:hAnsi="宋体" w:cs="宋体"/>
          <w:color w:val="auto"/>
          <w:szCs w:val="21"/>
        </w:rPr>
        <w:t>)</w:t>
      </w:r>
      <w:r>
        <w:rPr>
          <w:rFonts w:hint="eastAsia" w:ascii="宋体" w:hAnsi="宋体" w:cs="宋体"/>
          <w:color w:val="auto"/>
          <w:szCs w:val="21"/>
        </w:rPr>
        <w:t xml:space="preserve"> 投标人单方面出现其他投标人材料的；</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(9) 招标文件规定的其它无效投标情形。</w:t>
      </w:r>
    </w:p>
    <w:p>
      <w:pPr>
        <w:snapToGrid w:val="0"/>
        <w:spacing w:line="440" w:lineRule="exact"/>
        <w:rPr>
          <w:rFonts w:ascii="宋体" w:hAnsi="宋体" w:cs="宋体"/>
          <w:color w:val="auto"/>
          <w:szCs w:val="21"/>
        </w:rPr>
      </w:pPr>
      <w:r>
        <w:rPr>
          <w:rFonts w:hint="eastAsia" w:ascii="宋体" w:hAnsi="宋体" w:cs="宋体"/>
          <w:color w:val="auto"/>
          <w:szCs w:val="21"/>
        </w:rPr>
        <w:t xml:space="preserve">   8.3 投标人有下列情形之一的,符合性审查后其投标按无效投标处理：</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(1)投标文件签字、盖章不全，经评标委员会一致认定对开评标内容有实质性影响的；</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(2)未按规定的格式填写，实质性内容不全或关键字迹模糊、无法辨认的；</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(3)同一投标人提交两个以上不同的投标文件或者投标报价，但招标文件规定提交备选方案的除外；</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(4)投标文件没有对招标文件的实质性要求和条件作出响应;</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(5)投标报价超出规定的投标限价或公布的采购预算的或投标人的投标报价各项单价高于招标文件给定的单价最高限价；</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(6)不按评标委员会要求澄清、说明或补正的，或者评标委员会根据招标文件的规定对招标文件的计算错误进行修正后，投标人不接受修正的投标报价的。</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(7)投标文件含有采购人不能接受的附加条件的；</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(8)招标文件规定的其它无效投标情形。</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8.4 投标人有下列情形之一的, 详细评审后其投标按无效投标处理：</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(1)投标产品不符合必须强制执行的国家标准的；</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(2)投标人有串通投标、弄虚作假、行贿等违法行为；</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(3)投标文件含有违反国家法律、法规的内容，或附有采购人不能接受的条件的；</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(4)在同一项目（或同一标段）中有多个投标人有效投标报价接近最高限价，且评标委员会认为报价出现异常的，可以宣布其投标无效；</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(5)</w:t>
      </w:r>
      <w:r>
        <w:rPr>
          <w:rFonts w:ascii="宋体" w:hAnsi="宋体" w:cs="宋体"/>
          <w:color w:val="auto"/>
          <w:szCs w:val="21"/>
        </w:rPr>
        <w:t>报价明显低于其他投标人，且不能证明报价合理性的投标无效</w:t>
      </w:r>
      <w:r>
        <w:rPr>
          <w:rFonts w:hint="eastAsia" w:ascii="宋体" w:hAnsi="宋体" w:cs="宋体"/>
          <w:color w:val="auto"/>
          <w:szCs w:val="21"/>
        </w:rPr>
        <w:t>；</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(6)</w:t>
      </w:r>
      <w:r>
        <w:rPr>
          <w:rFonts w:ascii="宋体" w:hAnsi="宋体" w:cs="宋体"/>
          <w:color w:val="auto"/>
          <w:szCs w:val="21"/>
        </w:rPr>
        <w:t>拒不确认评标委员会评审修正的投标无效</w:t>
      </w:r>
      <w:r>
        <w:rPr>
          <w:rFonts w:hint="eastAsia" w:ascii="宋体" w:hAnsi="宋体" w:cs="宋体"/>
          <w:color w:val="auto"/>
          <w:szCs w:val="21"/>
        </w:rPr>
        <w:t>；</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(7)招标文件规定的其它无效投标情形。</w:t>
      </w:r>
    </w:p>
    <w:bookmarkEnd w:id="584"/>
    <w:p>
      <w:pPr>
        <w:jc w:val="center"/>
        <w:rPr>
          <w:rFonts w:ascii="宋体" w:hAnsi="宋体" w:cs="宋体"/>
          <w:b/>
          <w:bCs/>
          <w:color w:val="auto"/>
          <w:sz w:val="32"/>
          <w:szCs w:val="32"/>
        </w:rPr>
      </w:pPr>
    </w:p>
    <w:p>
      <w:pPr>
        <w:jc w:val="center"/>
        <w:rPr>
          <w:rFonts w:ascii="宋体" w:hAnsi="宋体" w:cs="宋体"/>
          <w:b/>
          <w:bCs/>
          <w:color w:val="auto"/>
          <w:sz w:val="32"/>
          <w:szCs w:val="32"/>
        </w:rPr>
      </w:pPr>
    </w:p>
    <w:p>
      <w:pPr>
        <w:pStyle w:val="50"/>
        <w:ind w:firstLine="643"/>
        <w:rPr>
          <w:rFonts w:ascii="宋体" w:hAnsi="宋体" w:cs="宋体"/>
          <w:b/>
          <w:bCs/>
          <w:color w:val="auto"/>
          <w:sz w:val="32"/>
          <w:szCs w:val="32"/>
        </w:rPr>
      </w:pPr>
    </w:p>
    <w:p>
      <w:pPr>
        <w:rPr>
          <w:rFonts w:ascii="宋体" w:hAnsi="宋体" w:cs="宋体"/>
          <w:b/>
          <w:bCs/>
          <w:color w:val="auto"/>
          <w:sz w:val="32"/>
          <w:szCs w:val="32"/>
        </w:rPr>
      </w:pPr>
    </w:p>
    <w:p>
      <w:pPr>
        <w:jc w:val="center"/>
        <w:rPr>
          <w:rFonts w:ascii="宋体" w:hAnsi="宋体" w:cs="宋体"/>
          <w:b/>
          <w:bCs/>
          <w:color w:val="auto"/>
          <w:sz w:val="32"/>
          <w:szCs w:val="32"/>
        </w:rPr>
      </w:pPr>
      <w:r>
        <w:rPr>
          <w:rFonts w:hint="eastAsia" w:ascii="宋体" w:hAnsi="宋体" w:cs="宋体"/>
          <w:b/>
          <w:bCs/>
          <w:color w:val="auto"/>
          <w:sz w:val="32"/>
          <w:szCs w:val="32"/>
        </w:rPr>
        <w:t>第三章 采购需求</w:t>
      </w:r>
    </w:p>
    <w:bookmarkEnd w:id="48"/>
    <w:bookmarkEnd w:id="583"/>
    <w:p>
      <w:pPr>
        <w:spacing w:line="440" w:lineRule="exact"/>
        <w:ind w:firstLine="422" w:firstLineChars="200"/>
        <w:rPr>
          <w:rFonts w:ascii="宋体" w:hAnsi="宋体" w:cs="宋体"/>
          <w:b/>
          <w:bCs/>
          <w:color w:val="auto"/>
          <w:szCs w:val="21"/>
        </w:rPr>
      </w:pPr>
      <w:bookmarkStart w:id="585" w:name="_Toc15832"/>
      <w:bookmarkStart w:id="586" w:name="_Toc31972"/>
      <w:bookmarkStart w:id="587" w:name="_Toc22466"/>
      <w:bookmarkStart w:id="588" w:name="_Toc24931"/>
      <w:bookmarkStart w:id="589" w:name="_Toc22879"/>
      <w:bookmarkStart w:id="590" w:name="_Toc26076"/>
      <w:bookmarkStart w:id="591" w:name="_Toc35864588"/>
      <w:r>
        <w:rPr>
          <w:rFonts w:hint="eastAsia" w:ascii="宋体" w:hAnsi="宋体" w:cs="宋体"/>
          <w:b/>
          <w:bCs/>
          <w:color w:val="auto"/>
          <w:szCs w:val="21"/>
        </w:rPr>
        <w:t>一、总体要求：</w:t>
      </w:r>
    </w:p>
    <w:p>
      <w:pPr>
        <w:spacing w:line="440" w:lineRule="exact"/>
        <w:ind w:firstLine="420" w:firstLineChars="200"/>
        <w:rPr>
          <w:rFonts w:ascii="宋体" w:hAnsi="宋体" w:cs="宋体"/>
          <w:color w:val="auto"/>
          <w:szCs w:val="21"/>
        </w:rPr>
      </w:pPr>
      <w:r>
        <w:rPr>
          <w:rFonts w:hint="eastAsia" w:ascii="宋体" w:hAnsi="宋体" w:cs="宋体"/>
          <w:color w:val="auto"/>
          <w:szCs w:val="21"/>
        </w:rPr>
        <w:t>（1）用户数：协同办公平台初始用户数在PC端和移动端均能满足全院600人使用，每增加一个用户，由院方支付开户费100元。功能要求PC端和移动端一体化。</w:t>
      </w:r>
    </w:p>
    <w:p>
      <w:pPr>
        <w:spacing w:line="440" w:lineRule="exact"/>
        <w:ind w:firstLine="420" w:firstLineChars="200"/>
        <w:rPr>
          <w:rFonts w:ascii="宋体" w:hAnsi="宋体" w:cs="宋体"/>
          <w:color w:val="auto"/>
          <w:szCs w:val="21"/>
        </w:rPr>
      </w:pPr>
      <w:r>
        <w:rPr>
          <w:rFonts w:hint="eastAsia" w:ascii="宋体" w:hAnsi="宋体" w:cs="宋体"/>
          <w:color w:val="auto"/>
          <w:szCs w:val="21"/>
        </w:rPr>
        <w:t>（2）功能迁移：完成医院现有OA系统中的功能全部迁移至新办公平台中，流程及表单制作不受个数限制。</w:t>
      </w:r>
    </w:p>
    <w:p>
      <w:pPr>
        <w:spacing w:line="440" w:lineRule="exact"/>
        <w:ind w:firstLine="420" w:firstLineChars="200"/>
        <w:rPr>
          <w:rFonts w:ascii="宋体" w:hAnsi="宋体" w:cs="宋体"/>
          <w:color w:val="auto"/>
          <w:szCs w:val="21"/>
        </w:rPr>
      </w:pPr>
      <w:r>
        <w:rPr>
          <w:rFonts w:hint="eastAsia" w:ascii="宋体" w:hAnsi="宋体" w:cs="宋体"/>
          <w:color w:val="auto"/>
          <w:szCs w:val="21"/>
        </w:rPr>
        <w:t>（3）第三方接口：协同办公平台应免费开发其成熟接口，方便与第三方系统对接。</w:t>
      </w:r>
    </w:p>
    <w:p>
      <w:pPr>
        <w:spacing w:line="440" w:lineRule="exact"/>
        <w:ind w:firstLine="420" w:firstLineChars="200"/>
        <w:rPr>
          <w:rFonts w:ascii="宋体" w:hAnsi="宋体" w:cs="宋体"/>
          <w:color w:val="auto"/>
          <w:szCs w:val="21"/>
        </w:rPr>
      </w:pPr>
      <w:r>
        <w:rPr>
          <w:rFonts w:hint="eastAsia" w:ascii="宋体" w:hAnsi="宋体" w:cs="宋体"/>
          <w:color w:val="auto"/>
          <w:szCs w:val="21"/>
        </w:rPr>
        <w:t>（4）兼容性：协同办公平台支持B/S架构，所有功能兼容主流浏览器，包括但不限于IE11、edge、谷歌、火狐、360、国产浏览器等，支持office2010、2013、2016、2019、2021、WPS2023及其他主流版本，能够解决各类插件产生的兼容性问题。</w:t>
      </w:r>
    </w:p>
    <w:p>
      <w:pPr>
        <w:spacing w:line="440" w:lineRule="exact"/>
        <w:ind w:firstLine="420" w:firstLineChars="200"/>
        <w:rPr>
          <w:rFonts w:ascii="宋体" w:hAnsi="宋体" w:cs="宋体"/>
          <w:color w:val="auto"/>
          <w:szCs w:val="21"/>
        </w:rPr>
      </w:pPr>
      <w:r>
        <w:rPr>
          <w:rFonts w:hint="eastAsia" w:ascii="宋体" w:hAnsi="宋体" w:cs="宋体"/>
          <w:color w:val="auto"/>
          <w:szCs w:val="21"/>
        </w:rPr>
        <w:t>（5）安全性：保障系统的安全性，及时发现和解决安全漏洞，定期完善协同办公平台的业务补丁，能够对系统的底层控件、端口号等安全漏洞进行处理，对数据库、中间件等系统底层软件更新带来的应用层漏洞进行及时修复；配合医院进行安全评估、漏洞扫描并能够进行整改，以满足院方的安全性要求（需提供承诺函）。使用过程中能够根据院方等保要求进行整改，能够支持通过三级等保测评。</w:t>
      </w:r>
    </w:p>
    <w:p>
      <w:pPr>
        <w:spacing w:line="440" w:lineRule="exact"/>
        <w:ind w:firstLine="420" w:firstLineChars="200"/>
        <w:rPr>
          <w:rFonts w:ascii="宋体" w:hAnsi="宋体" w:cs="宋体"/>
          <w:color w:val="auto"/>
          <w:szCs w:val="21"/>
        </w:rPr>
      </w:pPr>
      <w:r>
        <w:rPr>
          <w:rFonts w:hint="eastAsia" w:ascii="宋体" w:hAnsi="宋体" w:cs="宋体"/>
          <w:color w:val="auto"/>
          <w:szCs w:val="21"/>
        </w:rPr>
        <w:t>（6）系统容量：在硬件无瓶颈的条件下，应满足不少于200用户同时在线的性能要求，当系统容量超过上述情况时不能出现系统崩溃的现象。</w:t>
      </w:r>
    </w:p>
    <w:p>
      <w:pPr>
        <w:spacing w:line="440" w:lineRule="exact"/>
        <w:ind w:firstLine="420" w:firstLineChars="200"/>
        <w:rPr>
          <w:rFonts w:ascii="宋体" w:hAnsi="宋体" w:cs="宋体"/>
          <w:color w:val="auto"/>
          <w:szCs w:val="21"/>
        </w:rPr>
      </w:pPr>
      <w:r>
        <w:rPr>
          <w:rFonts w:hint="eastAsia" w:ascii="宋体" w:hAnsi="宋体" w:cs="宋体"/>
          <w:color w:val="auto"/>
          <w:szCs w:val="21"/>
        </w:rPr>
        <w:t>（7）响应指标：在网络稳定的情况下，用户打开页面响应速度≤3秒，点击操作响应速度≤3秒，复杂查询响应速度≤8秒。</w:t>
      </w:r>
    </w:p>
    <w:p>
      <w:pPr>
        <w:spacing w:line="440" w:lineRule="exact"/>
        <w:ind w:firstLine="420" w:firstLineChars="200"/>
        <w:rPr>
          <w:rFonts w:ascii="宋体" w:hAnsi="宋体" w:cs="宋体"/>
          <w:color w:val="auto"/>
          <w:szCs w:val="21"/>
        </w:rPr>
      </w:pPr>
      <w:r>
        <w:rPr>
          <w:rFonts w:hint="eastAsia" w:ascii="宋体" w:hAnsi="宋体" w:cs="宋体"/>
          <w:color w:val="auto"/>
          <w:szCs w:val="21"/>
        </w:rPr>
        <w:t>（8）可靠性：系统应该具有很强的防错、抗错能力。在7×24连续运行情况下，系统可靠性达到99.99%。平均故障修复时间小于2小时。</w:t>
      </w:r>
    </w:p>
    <w:p>
      <w:pPr>
        <w:spacing w:line="440" w:lineRule="exact"/>
        <w:ind w:firstLine="420" w:firstLineChars="200"/>
        <w:rPr>
          <w:rFonts w:ascii="宋体" w:hAnsi="宋体" w:cs="宋体"/>
          <w:color w:val="auto"/>
          <w:szCs w:val="21"/>
        </w:rPr>
      </w:pPr>
      <w:r>
        <w:rPr>
          <w:rFonts w:hint="eastAsia" w:ascii="宋体" w:hAnsi="宋体" w:cs="宋体"/>
          <w:color w:val="auto"/>
          <w:szCs w:val="21"/>
        </w:rPr>
        <w:t>（9）云服务要求：OA云服务器需部署于本地，且要求按照600人的规模设计，按照高可用标准，采用1台数据库服务器、1台应用服务器、1台移动应用服务器，出口带宽不低于20M。同时基于安全考虑，需配置防火墙、堡垒机、主机安全、入侵防御、日志审计、数据库审计等云安全组件，以满足三级等保的要求。与医院内系统或终端对接需通过专线电路或内网打通。</w:t>
      </w:r>
    </w:p>
    <w:p>
      <w:pPr>
        <w:spacing w:line="440" w:lineRule="exact"/>
        <w:ind w:firstLine="420" w:firstLineChars="200"/>
        <w:rPr>
          <w:rFonts w:ascii="宋体" w:hAnsi="宋体" w:cs="宋体"/>
          <w:color w:val="auto"/>
          <w:szCs w:val="21"/>
        </w:rPr>
      </w:pPr>
      <w:r>
        <w:rPr>
          <w:rFonts w:hint="eastAsia" w:ascii="宋体" w:hAnsi="宋体" w:cs="宋体"/>
          <w:color w:val="auto"/>
          <w:szCs w:val="21"/>
        </w:rPr>
        <w:t>2、本期建设功能要求：</w:t>
      </w:r>
    </w:p>
    <w:p>
      <w:pP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    所投软件必须支持下表基础功能部分，本期项目最终建设清单以双方签字需求确认表为准，同时软件要支持下表扩展功能，并根据医院发展需求，在后期项目中予以支持。</w:t>
      </w:r>
    </w:p>
    <w:tbl>
      <w:tblPr>
        <w:tblStyle w:val="2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3119"/>
        <w:gridCol w:w="3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科室</w:t>
            </w:r>
          </w:p>
        </w:tc>
        <w:tc>
          <w:tcPr>
            <w:tcW w:w="3119" w:type="dxa"/>
          </w:tcPr>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基础功能（以此为基础，可扩充）</w:t>
            </w:r>
          </w:p>
        </w:tc>
        <w:tc>
          <w:tcPr>
            <w:tcW w:w="3906" w:type="dxa"/>
          </w:tcPr>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扩展功能（未来可规划建设）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全院职工</w:t>
            </w:r>
          </w:p>
        </w:tc>
        <w:tc>
          <w:tcPr>
            <w:tcW w:w="3119" w:type="dxa"/>
          </w:tcPr>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▲医院新闻</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▲通知公告</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▲待办事项</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▲医院总值班&amp;临床医技值班表</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▲未读邮件</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▲法律法规</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▲党建宣传</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▲常用资料下载</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▲规章制度</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▲内部邮件系统</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▲移动办公</w:t>
            </w:r>
          </w:p>
        </w:tc>
        <w:tc>
          <w:tcPr>
            <w:tcW w:w="3906" w:type="dxa"/>
          </w:tcPr>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●单点登录</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●问卷与调查</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●即时通讯</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●与集成平台对接</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●与his系统对接</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●战略文化墙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院领导</w:t>
            </w:r>
          </w:p>
        </w:tc>
        <w:tc>
          <w:tcPr>
            <w:tcW w:w="3119" w:type="dxa"/>
          </w:tcPr>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▲新闻通知</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▲待办事项</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▲督办事项</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▲收入情况</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▲支出情况</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▲会议与日程安排</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▲出入院统计</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▲门诊人次统计</w:t>
            </w:r>
          </w:p>
          <w:p>
            <w:pPr>
              <w:spacing w:line="320" w:lineRule="exact"/>
              <w:rPr>
                <w:rFonts w:ascii="宋体" w:hAnsi="宋体" w:eastAsia="等线" w:cs="宋体"/>
                <w:color w:val="auto"/>
                <w:szCs w:val="21"/>
                <w14:ligatures w14:val="standardContextual"/>
              </w:rPr>
            </w:pPr>
          </w:p>
        </w:tc>
        <w:tc>
          <w:tcPr>
            <w:tcW w:w="3906" w:type="dxa"/>
          </w:tcPr>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院领导驾驶舱：</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●营收数据</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●门诊量统计</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●急诊量统计</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●在院患者统计</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●病重人数统计</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●病床占有率</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●患者满意度调查表</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●科室满意度调查表</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●不良事件统计报等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党办类</w:t>
            </w:r>
          </w:p>
        </w:tc>
        <w:tc>
          <w:tcPr>
            <w:tcW w:w="3119" w:type="dxa"/>
          </w:tcPr>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公文类含：</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▲党委发文</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▲党办发文等；</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流程类含：</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▲党委会议题申报</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▲党委会决定事项通知</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▲党建系统建设：党员信息、党组织管理、党建活动、党员学习、党费缴纳等。</w:t>
            </w:r>
          </w:p>
        </w:tc>
        <w:tc>
          <w:tcPr>
            <w:tcW w:w="3906" w:type="dxa"/>
          </w:tcPr>
          <w:p>
            <w:pPr>
              <w:spacing w:line="320" w:lineRule="exact"/>
              <w:rPr>
                <w:rFonts w:ascii="宋体" w:hAnsi="宋体" w:eastAsia="等线" w:cs="宋体"/>
                <w:color w:val="auto"/>
                <w:szCs w:val="21"/>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院办类</w:t>
            </w:r>
          </w:p>
        </w:tc>
        <w:tc>
          <w:tcPr>
            <w:tcW w:w="3119" w:type="dxa"/>
          </w:tcPr>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公文类含：</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▲医院发文</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▲院办发文</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▲收文处理</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流程类含：</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▲用印申请</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▲用车申请</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▲会议议题申请</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▲公章外借申请</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▲公务接待申请</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▲三重一大会议备案</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▲宣传物料制作申请</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▲因公外出申请</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▲学术活动申请</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会议管理：</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▲会议室预定与审批</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▲会议通知、回执、签到</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▲会议纪要</w:t>
            </w:r>
          </w:p>
        </w:tc>
        <w:tc>
          <w:tcPr>
            <w:tcW w:w="3906" w:type="dxa"/>
          </w:tcPr>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督办任务管理</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●督办发起</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●任务反馈</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●督办统计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纪检监察类</w:t>
            </w:r>
          </w:p>
        </w:tc>
        <w:tc>
          <w:tcPr>
            <w:tcW w:w="3119" w:type="dxa"/>
          </w:tcPr>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▲干部操办婚丧喜庆事宜报告</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▲医疗服务投诉及满意度考核通知单</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▲事项报备单</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▲投诉回复审批</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▲医院接受社会捐赠流程</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▲医护人员退回红包钱物登记</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▲医技护人员承诺书</w:t>
            </w:r>
          </w:p>
        </w:tc>
        <w:tc>
          <w:tcPr>
            <w:tcW w:w="3906" w:type="dxa"/>
          </w:tcPr>
          <w:p>
            <w:pPr>
              <w:spacing w:line="320" w:lineRule="exact"/>
              <w:rPr>
                <w:rFonts w:ascii="宋体" w:hAnsi="宋体" w:eastAsia="等线" w:cs="宋体"/>
                <w:color w:val="auto"/>
                <w:szCs w:val="21"/>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人事类</w:t>
            </w:r>
          </w:p>
        </w:tc>
        <w:tc>
          <w:tcPr>
            <w:tcW w:w="3119" w:type="dxa"/>
          </w:tcPr>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职能科室人员考勤：</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▲考勤打卡</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▲考勤报表</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▲考勤异常处理</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人事流程含：</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▲事业单位工作人员离职申请</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▲非编制人员离职申请</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▲加班申请</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▲出差申请</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▲请假申请</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▲人员需求计划申请</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▲中层干部外出申请</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▲退休返聘申请</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▲医院人员紧急替代申请</w:t>
            </w:r>
          </w:p>
        </w:tc>
        <w:tc>
          <w:tcPr>
            <w:tcW w:w="3906" w:type="dxa"/>
          </w:tcPr>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●通讯录</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●生日/节假日提醒</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●人事统计报表（年龄、职称、学历、入职时间等）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财务类</w:t>
            </w:r>
          </w:p>
        </w:tc>
        <w:tc>
          <w:tcPr>
            <w:tcW w:w="3119" w:type="dxa"/>
          </w:tcPr>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▲借款申请单</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▲公务出差/学术会议/培训报销申请</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▲长期进修报销单</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▲专项经费报销单</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▲重点专科建设经费报销单</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▲固定资产报废申请</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▲固定资产调拨申请</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▲固定资产报损单</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▲医院总预算申请</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▲科室预算编制申请</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▲资产调度用款申请</w:t>
            </w:r>
          </w:p>
        </w:tc>
        <w:tc>
          <w:tcPr>
            <w:tcW w:w="3906" w:type="dxa"/>
          </w:tcPr>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全面预算（可与财务系统对接）：</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●预算申请</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●预算调整</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●预算执行</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●统计与分析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医务科</w:t>
            </w:r>
          </w:p>
        </w:tc>
        <w:tc>
          <w:tcPr>
            <w:tcW w:w="3119" w:type="dxa"/>
          </w:tcPr>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▲自备药品事业流程申请</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▲专家门诊出诊申请表</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▲专家门诊停诊申请表</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▲转诊转院申请表</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▲多学科会诊申请表</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▲超说明书用药申请表</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▲新技术新项目申请</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▲外出参加学术会议申请</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▲医疗用车申请</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▲医务科公章使用申请</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▲医疗质量与安全督查反馈表</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▲处方权变更（新增）申请表</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▲纠纷隐患上报</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▲限制用药开通申请</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▲医疗服务项目收费申报</w:t>
            </w:r>
          </w:p>
        </w:tc>
        <w:tc>
          <w:tcPr>
            <w:tcW w:w="3906" w:type="dxa"/>
          </w:tcPr>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医风医德管理</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●廉洁行医登记</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●投诉情况登记</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●表扬情况登记</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●质量考核登记</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●荣誉信息登记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护理部</w:t>
            </w:r>
          </w:p>
        </w:tc>
        <w:tc>
          <w:tcPr>
            <w:tcW w:w="3119" w:type="dxa"/>
          </w:tcPr>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▲护理专科会诊申请</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▲跌倒/坠床上报申请</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▲护理人员资源调配申请</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▲护士长调班申请</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▲护理人员外出参加学术会议申请</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▲增加护理人员申请</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▲护理总值班换班申请</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▲不良事件上报（含普通护理不良事件、坠床跌倒、用药不良等项）</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▲非计划性拔管事件上报</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▲实习护士请假单</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▲院内压力性损伤发生上报</w:t>
            </w:r>
          </w:p>
        </w:tc>
        <w:tc>
          <w:tcPr>
            <w:tcW w:w="3906" w:type="dxa"/>
          </w:tcPr>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●不良事件管理与统计</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●护理质量管理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药械科</w:t>
            </w:r>
          </w:p>
        </w:tc>
        <w:tc>
          <w:tcPr>
            <w:tcW w:w="3119" w:type="dxa"/>
          </w:tcPr>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▲科室领取药品申请</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▲科室大输液申请</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▲急救器械申请</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▲急救药品申请</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▲药品临时采购申请</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▲药品耗材盘点结果审核</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▲药品耗材报损申请</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▲过期药械报废申请</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▲专科耗材采购申请</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▲物品维修申请</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▲药品紧急替换申请</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▲临时购药申请</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▲耗材试用申请</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▲首次使用医用耗材准入审批备案</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▲医保匹配申请</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▲超说明书用药申请</w:t>
            </w:r>
          </w:p>
        </w:tc>
        <w:tc>
          <w:tcPr>
            <w:tcW w:w="3906" w:type="dxa"/>
          </w:tcPr>
          <w:p>
            <w:pPr>
              <w:spacing w:line="320" w:lineRule="exact"/>
              <w:rPr>
                <w:rFonts w:ascii="宋体" w:hAnsi="宋体" w:eastAsia="等线" w:cs="宋体"/>
                <w:color w:val="auto"/>
                <w:szCs w:val="21"/>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科教科</w:t>
            </w:r>
          </w:p>
        </w:tc>
        <w:tc>
          <w:tcPr>
            <w:tcW w:w="3119" w:type="dxa"/>
          </w:tcPr>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▲论文介绍信管理</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▲科研论文登记</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▲专利登记</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▲科研项目登记</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▲重点专科建设经费/科研项目经费申请</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▲新增申请/备案科研论文</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▲新增专利/计算机著作权</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▲新增学术任职</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▲新增科技成果</w:t>
            </w:r>
          </w:p>
        </w:tc>
        <w:tc>
          <w:tcPr>
            <w:tcW w:w="3906" w:type="dxa"/>
          </w:tcPr>
          <w:p>
            <w:pPr>
              <w:spacing w:line="320" w:lineRule="exact"/>
              <w:rPr>
                <w:rFonts w:ascii="宋体" w:hAnsi="宋体" w:eastAsia="等线" w:cs="宋体"/>
                <w:color w:val="auto"/>
                <w:szCs w:val="21"/>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医保办</w:t>
            </w:r>
          </w:p>
        </w:tc>
        <w:tc>
          <w:tcPr>
            <w:tcW w:w="3119" w:type="dxa"/>
          </w:tcPr>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▲医疗服务收费申报</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▲意外伤害登记审批</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▲国谈药品“双通道”购药备案审批</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▲转诊转院申请</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▲医保类文件下发</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▲新开展医疗服务价格项目申请</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▲医疗服务项目成本测算及价格申请</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▲医疗救助申请</w:t>
            </w:r>
          </w:p>
        </w:tc>
        <w:tc>
          <w:tcPr>
            <w:tcW w:w="3906" w:type="dxa"/>
          </w:tcPr>
          <w:p>
            <w:pPr>
              <w:spacing w:line="320" w:lineRule="exact"/>
              <w:rPr>
                <w:rFonts w:ascii="宋体" w:hAnsi="宋体" w:eastAsia="等线" w:cs="宋体"/>
                <w:color w:val="auto"/>
                <w:szCs w:val="21"/>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招标办</w:t>
            </w:r>
          </w:p>
        </w:tc>
        <w:tc>
          <w:tcPr>
            <w:tcW w:w="3119" w:type="dxa"/>
          </w:tcPr>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▲物资采购申请</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▲月度采购计划申请</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▲医学设备维修采购申请</w:t>
            </w:r>
          </w:p>
        </w:tc>
        <w:tc>
          <w:tcPr>
            <w:tcW w:w="3906" w:type="dxa"/>
          </w:tcPr>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供应商管理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信息科</w:t>
            </w:r>
          </w:p>
        </w:tc>
        <w:tc>
          <w:tcPr>
            <w:tcW w:w="3119" w:type="dxa"/>
          </w:tcPr>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▲打印机新增/更换申请</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▲处方权申请变更</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▲信息系统软件需求申请单</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▲服务器资源申请审核单</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▲办公电脑外网连接申请</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▲信息系统更新登记表</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▲信息类设备购置专项预算表</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▲信息科日常运维记录单</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▲信息系统数据变更申请</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▲信息化设备维修申请</w:t>
            </w:r>
          </w:p>
        </w:tc>
        <w:tc>
          <w:tcPr>
            <w:tcW w:w="3906" w:type="dxa"/>
          </w:tcPr>
          <w:p>
            <w:pPr>
              <w:spacing w:line="320" w:lineRule="exact"/>
              <w:rPr>
                <w:rFonts w:ascii="宋体" w:hAnsi="宋体" w:eastAsia="等线" w:cs="宋体"/>
                <w:color w:val="auto"/>
                <w:szCs w:val="21"/>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总务科</w:t>
            </w:r>
          </w:p>
        </w:tc>
        <w:tc>
          <w:tcPr>
            <w:tcW w:w="3119" w:type="dxa"/>
          </w:tcPr>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▲第三方公司服务考评</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▲水电费预付款申请</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▲总务科维修申请单</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▲办公耗材申领单</w:t>
            </w:r>
          </w:p>
        </w:tc>
        <w:tc>
          <w:tcPr>
            <w:tcW w:w="3906" w:type="dxa"/>
          </w:tcPr>
          <w:p>
            <w:pPr>
              <w:spacing w:line="320" w:lineRule="exact"/>
              <w:rPr>
                <w:rFonts w:ascii="宋体" w:hAnsi="宋体" w:eastAsia="等线" w:cs="宋体"/>
                <w:color w:val="auto"/>
                <w:szCs w:val="21"/>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后勤类</w:t>
            </w:r>
          </w:p>
        </w:tc>
        <w:tc>
          <w:tcPr>
            <w:tcW w:w="3119" w:type="dxa"/>
          </w:tcPr>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▲食堂订餐流程</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▲一站式报修</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▲工作服申领单</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▲后勤基建改造申请</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▲后勤物资申购单</w:t>
            </w:r>
          </w:p>
          <w:p>
            <w:pPr>
              <w:spacing w:line="320" w:lineRule="exact"/>
              <w:rPr>
                <w:rFonts w:ascii="宋体" w:hAnsi="宋体" w:eastAsia="等线" w:cs="宋体"/>
                <w:color w:val="auto"/>
                <w:szCs w:val="21"/>
                <w14:ligatures w14:val="standardContextual"/>
              </w:rPr>
            </w:pPr>
            <w:r>
              <w:rPr>
                <w:rFonts w:hint="eastAsia" w:ascii="宋体" w:hAnsi="宋体" w:eastAsia="等线" w:cs="宋体"/>
                <w:color w:val="auto"/>
                <w:szCs w:val="21"/>
                <w14:ligatures w14:val="standardContextual"/>
              </w:rPr>
              <w:t>▲零星物资维修申请</w:t>
            </w:r>
          </w:p>
        </w:tc>
        <w:tc>
          <w:tcPr>
            <w:tcW w:w="3906" w:type="dxa"/>
          </w:tcPr>
          <w:p>
            <w:pPr>
              <w:spacing w:line="320" w:lineRule="exact"/>
              <w:rPr>
                <w:rFonts w:ascii="宋体" w:hAnsi="宋体" w:eastAsia="等线" w:cs="宋体"/>
                <w:color w:val="auto"/>
                <w:szCs w:val="21"/>
                <w14:ligatures w14:val="standardContextual"/>
              </w:rPr>
            </w:pPr>
          </w:p>
        </w:tc>
      </w:tr>
    </w:tbl>
    <w:p>
      <w:pPr>
        <w:spacing w:line="440" w:lineRule="exact"/>
        <w:ind w:firstLine="420" w:firstLineChars="200"/>
        <w:rPr>
          <w:rFonts w:ascii="宋体" w:hAnsi="宋体" w:cs="宋体"/>
          <w:color w:val="auto"/>
          <w:szCs w:val="21"/>
        </w:rPr>
      </w:pPr>
      <w:r>
        <w:rPr>
          <w:rFonts w:hint="eastAsia" w:ascii="宋体" w:hAnsi="宋体" w:cs="宋体"/>
          <w:color w:val="auto"/>
          <w:szCs w:val="21"/>
        </w:rPr>
        <w:t>3、维保要求：</w:t>
      </w:r>
    </w:p>
    <w:p>
      <w:pPr>
        <w:spacing w:line="440" w:lineRule="exact"/>
        <w:ind w:firstLine="420" w:firstLineChars="200"/>
        <w:rPr>
          <w:rFonts w:ascii="宋体" w:hAnsi="宋体" w:cs="宋体"/>
          <w:color w:val="auto"/>
          <w:szCs w:val="21"/>
        </w:rPr>
      </w:pPr>
      <w:r>
        <w:rPr>
          <w:rFonts w:hint="eastAsia" w:ascii="宋体" w:hAnsi="宋体" w:cs="宋体"/>
          <w:color w:val="auto"/>
          <w:szCs w:val="21"/>
        </w:rPr>
        <w:t>1.提供所投产品在交付验收后三年免费维保服务。</w:t>
      </w:r>
    </w:p>
    <w:p>
      <w:pPr>
        <w:spacing w:line="440" w:lineRule="exact"/>
        <w:ind w:firstLine="420" w:firstLineChars="200"/>
        <w:rPr>
          <w:rFonts w:ascii="宋体" w:hAnsi="宋体" w:cs="宋体"/>
          <w:color w:val="auto"/>
          <w:szCs w:val="21"/>
        </w:rPr>
      </w:pPr>
      <w:r>
        <w:rPr>
          <w:rFonts w:hint="eastAsia" w:ascii="宋体" w:hAnsi="宋体" w:cs="宋体"/>
          <w:color w:val="auto"/>
          <w:szCs w:val="21"/>
        </w:rPr>
        <w:t>2.投标人保证有专门的客户服务机构和人员，能够提供7*24小时电话服务响应，故障响应时间不超过半小时，同时提供远程技术支持服务；对于必须派人现场解决的问题，需在2小时内到达现场处理。</w:t>
      </w:r>
    </w:p>
    <w:p>
      <w:pPr>
        <w:spacing w:line="440" w:lineRule="exact"/>
        <w:ind w:firstLine="420" w:firstLineChars="200"/>
        <w:rPr>
          <w:rFonts w:ascii="宋体" w:hAnsi="宋体" w:cs="宋体"/>
          <w:color w:val="auto"/>
          <w:szCs w:val="21"/>
        </w:rPr>
      </w:pPr>
      <w:r>
        <w:rPr>
          <w:rFonts w:hint="eastAsia" w:ascii="宋体" w:hAnsi="宋体" w:cs="宋体"/>
          <w:color w:val="auto"/>
          <w:szCs w:val="21"/>
        </w:rPr>
        <w:t>3.质保期内，供应商必须配备参加系统开发的1名技术人员，提供有关软件的技术支持。</w:t>
      </w:r>
    </w:p>
    <w:p>
      <w:pPr>
        <w:spacing w:line="440" w:lineRule="exact"/>
        <w:ind w:firstLine="420" w:firstLineChars="200"/>
        <w:rPr>
          <w:rFonts w:ascii="宋体" w:hAnsi="宋体" w:cs="宋体"/>
          <w:color w:val="auto"/>
          <w:szCs w:val="21"/>
        </w:rPr>
      </w:pPr>
      <w:r>
        <w:rPr>
          <w:rFonts w:hint="eastAsia" w:ascii="宋体" w:hAnsi="宋体" w:cs="宋体"/>
          <w:color w:val="auto"/>
          <w:szCs w:val="21"/>
        </w:rPr>
        <w:t>4.为保障系统正常运行，需对协同办公系统定期巡检，提交巡检报告。</w:t>
      </w:r>
    </w:p>
    <w:p>
      <w:pPr>
        <w:spacing w:line="440" w:lineRule="exact"/>
        <w:ind w:firstLine="420" w:firstLineChars="200"/>
        <w:rPr>
          <w:rFonts w:ascii="宋体" w:hAnsi="宋体" w:cs="宋体"/>
          <w:color w:val="auto"/>
          <w:szCs w:val="21"/>
        </w:rPr>
      </w:pPr>
      <w:r>
        <w:rPr>
          <w:rFonts w:hint="eastAsia" w:ascii="宋体" w:hAnsi="宋体" w:cs="宋体"/>
          <w:color w:val="auto"/>
          <w:szCs w:val="21"/>
        </w:rPr>
        <w:t>5.本项目包含的所有费用（包括系统软件、插件等）以及实施过程中的安装、调试、培训等人工和耗材费用，不再另外支付任何费用。</w:t>
      </w:r>
    </w:p>
    <w:p>
      <w:pPr>
        <w:spacing w:line="440" w:lineRule="exact"/>
        <w:ind w:firstLine="420" w:firstLineChars="200"/>
        <w:rPr>
          <w:rFonts w:ascii="宋体" w:hAnsi="宋体" w:cs="宋体"/>
          <w:color w:val="auto"/>
          <w:szCs w:val="21"/>
        </w:rPr>
      </w:pPr>
      <w:r>
        <w:rPr>
          <w:rFonts w:hint="eastAsia" w:ascii="宋体" w:hAnsi="宋体" w:cs="宋体"/>
          <w:color w:val="auto"/>
          <w:szCs w:val="21"/>
        </w:rPr>
        <w:t>6.针对以上维保要求，投标人需提供承诺函。</w:t>
      </w:r>
    </w:p>
    <w:p>
      <w:pPr>
        <w:spacing w:line="440" w:lineRule="exact"/>
        <w:ind w:firstLine="420" w:firstLineChars="200"/>
        <w:rPr>
          <w:rFonts w:ascii="宋体" w:hAnsi="宋体" w:cs="宋体"/>
          <w:color w:val="auto"/>
          <w:szCs w:val="21"/>
        </w:rPr>
      </w:pPr>
      <w:r>
        <w:rPr>
          <w:rFonts w:hint="eastAsia" w:ascii="宋体" w:hAnsi="宋体" w:cs="宋体"/>
          <w:color w:val="auto"/>
          <w:szCs w:val="21"/>
        </w:rPr>
        <w:t>7、其它要求</w:t>
      </w:r>
    </w:p>
    <w:p>
      <w:pPr>
        <w:spacing w:line="440" w:lineRule="exact"/>
        <w:ind w:firstLine="420" w:firstLineChars="200"/>
        <w:rPr>
          <w:rFonts w:ascii="宋体" w:hAnsi="宋体" w:cs="宋体"/>
          <w:color w:val="auto"/>
          <w:szCs w:val="21"/>
        </w:rPr>
      </w:pPr>
      <w:r>
        <w:rPr>
          <w:rFonts w:hint="eastAsia" w:ascii="宋体" w:hAnsi="宋体" w:cs="宋体"/>
          <w:color w:val="auto"/>
          <w:szCs w:val="21"/>
        </w:rPr>
        <w:t>（1）实施要求</w:t>
      </w:r>
    </w:p>
    <w:p>
      <w:pPr>
        <w:spacing w:line="440" w:lineRule="exact"/>
        <w:ind w:firstLine="420" w:firstLineChars="200"/>
        <w:rPr>
          <w:rFonts w:ascii="宋体" w:hAnsi="宋体" w:cs="宋体"/>
          <w:color w:val="auto"/>
          <w:szCs w:val="21"/>
        </w:rPr>
      </w:pPr>
      <w:r>
        <w:rPr>
          <w:rFonts w:hint="eastAsia" w:ascii="宋体" w:hAnsi="宋体" w:cs="宋体"/>
          <w:color w:val="auto"/>
          <w:szCs w:val="21"/>
        </w:rPr>
        <w:t>供应商有固定的售后服务团队和软件开发中心。在通过验收前必须现场留驻足够的实施人员。</w:t>
      </w:r>
    </w:p>
    <w:p>
      <w:pPr>
        <w:spacing w:line="440" w:lineRule="exact"/>
        <w:ind w:firstLine="420" w:firstLineChars="200"/>
        <w:rPr>
          <w:rFonts w:ascii="宋体" w:hAnsi="宋体" w:cs="宋体"/>
          <w:color w:val="auto"/>
          <w:szCs w:val="21"/>
        </w:rPr>
      </w:pPr>
      <w:r>
        <w:rPr>
          <w:rFonts w:hint="eastAsia" w:ascii="宋体" w:hAnsi="宋体" w:cs="宋体"/>
          <w:color w:val="auto"/>
          <w:szCs w:val="21"/>
        </w:rPr>
        <w:t>（2）针对本项目成立项目小组，在响应文件中提供书面名单，人员一旦得到医院确认，无特殊理由不得随意变动，且项目经理未得到医院同意的情况下不得随意更换。如若实施人员达不到院方的要求，医院有权根据实施情况要求更换。</w:t>
      </w:r>
    </w:p>
    <w:p>
      <w:pPr>
        <w:spacing w:line="440" w:lineRule="exact"/>
        <w:ind w:firstLine="420" w:firstLineChars="200"/>
        <w:rPr>
          <w:rFonts w:ascii="宋体" w:hAnsi="宋体" w:cs="宋体"/>
          <w:color w:val="auto"/>
          <w:szCs w:val="21"/>
        </w:rPr>
      </w:pPr>
      <w:r>
        <w:rPr>
          <w:rFonts w:hint="eastAsia" w:ascii="宋体" w:hAnsi="宋体" w:cs="宋体"/>
          <w:color w:val="auto"/>
          <w:szCs w:val="21"/>
        </w:rPr>
        <w:t>（3）系统提供商应本着认真负责态度，组织技术队伍，认真做好项目的实施工作。在签订合同前，提出需求调研、具体实施、服务、维护以及今后技术支持的措施计划和承诺。</w:t>
      </w:r>
    </w:p>
    <w:p>
      <w:pPr>
        <w:spacing w:line="440" w:lineRule="exact"/>
        <w:ind w:firstLine="420" w:firstLineChars="200"/>
        <w:rPr>
          <w:rFonts w:ascii="宋体" w:hAnsi="宋体" w:cs="宋体"/>
          <w:color w:val="auto"/>
          <w:szCs w:val="21"/>
        </w:rPr>
      </w:pPr>
      <w:r>
        <w:rPr>
          <w:rFonts w:hint="eastAsia" w:ascii="宋体" w:hAnsi="宋体" w:cs="宋体"/>
          <w:color w:val="auto"/>
          <w:szCs w:val="21"/>
        </w:rPr>
        <w:t>（4）系统提供商必须提供项目实施计划，经采购人同意后，严格执行。如果遇到问题，由项目组提出项目变更说明，经医院和系统提供商确定后，修改计划。</w:t>
      </w:r>
    </w:p>
    <w:p>
      <w:pPr>
        <w:spacing w:line="440" w:lineRule="exact"/>
        <w:ind w:firstLine="420" w:firstLineChars="200"/>
        <w:rPr>
          <w:rFonts w:ascii="宋体" w:hAnsi="宋体" w:cs="宋体"/>
          <w:color w:val="auto"/>
          <w:szCs w:val="21"/>
        </w:rPr>
      </w:pPr>
      <w:r>
        <w:rPr>
          <w:rFonts w:hint="eastAsia" w:ascii="宋体" w:hAnsi="宋体" w:cs="宋体"/>
          <w:color w:val="auto"/>
          <w:szCs w:val="21"/>
        </w:rPr>
        <w:t>（5）系统提供商应负责在项目验收时将系统的全部有关技术文件、资料、及安装、测试、验收报告等文档汇集成册交付采购人，包括相关软件开放的源代码、完整的软件安装、操作、使用、测试、控制和维护手册。</w:t>
      </w:r>
    </w:p>
    <w:p>
      <w:pPr>
        <w:spacing w:line="440" w:lineRule="exact"/>
        <w:ind w:firstLine="420" w:firstLineChars="200"/>
        <w:rPr>
          <w:rFonts w:ascii="宋体" w:hAnsi="宋体" w:cs="宋体"/>
          <w:color w:val="auto"/>
          <w:szCs w:val="21"/>
        </w:rPr>
      </w:pPr>
      <w:r>
        <w:rPr>
          <w:rFonts w:hint="eastAsia" w:ascii="宋体" w:hAnsi="宋体" w:cs="宋体"/>
          <w:color w:val="auto"/>
          <w:szCs w:val="21"/>
        </w:rPr>
        <w:t>（6）结合医院实际情况，拟定详细的系统实施计划，包括个性化化、测试、试运行、培训及上线计划。承诺保证在合同规定时间内上线及上线后系统平稳运行。</w:t>
      </w:r>
    </w:p>
    <w:p>
      <w:pPr>
        <w:spacing w:line="440" w:lineRule="exact"/>
        <w:ind w:firstLine="420" w:firstLineChars="200"/>
        <w:rPr>
          <w:rFonts w:ascii="宋体" w:hAnsi="宋体" w:cs="宋体"/>
          <w:color w:val="auto"/>
          <w:szCs w:val="21"/>
        </w:rPr>
      </w:pPr>
      <w:r>
        <w:rPr>
          <w:rFonts w:hint="eastAsia" w:ascii="宋体" w:hAnsi="宋体" w:cs="宋体"/>
          <w:color w:val="auto"/>
          <w:szCs w:val="21"/>
        </w:rPr>
        <w:t>注：以上“实施要求”条款须全部响应，否则投标将不被认可。</w:t>
      </w:r>
    </w:p>
    <w:p>
      <w:pPr>
        <w:spacing w:line="440" w:lineRule="exact"/>
        <w:ind w:firstLine="420" w:firstLineChars="200"/>
        <w:rPr>
          <w:rFonts w:ascii="宋体" w:hAnsi="宋体" w:cs="宋体"/>
          <w:color w:val="auto"/>
          <w:szCs w:val="21"/>
        </w:rPr>
      </w:pPr>
      <w:r>
        <w:rPr>
          <w:rFonts w:hint="eastAsia" w:ascii="宋体" w:hAnsi="宋体" w:cs="宋体"/>
          <w:color w:val="auto"/>
          <w:szCs w:val="21"/>
        </w:rPr>
        <w:t>（2）培训要求</w:t>
      </w:r>
    </w:p>
    <w:p>
      <w:pPr>
        <w:spacing w:line="440" w:lineRule="exact"/>
        <w:ind w:firstLine="420" w:firstLineChars="200"/>
        <w:rPr>
          <w:rFonts w:ascii="宋体" w:hAnsi="宋体" w:cs="宋体"/>
          <w:color w:val="auto"/>
          <w:szCs w:val="21"/>
        </w:rPr>
      </w:pPr>
      <w:r>
        <w:rPr>
          <w:rFonts w:hint="eastAsia" w:ascii="宋体" w:hAnsi="宋体" w:cs="宋体"/>
          <w:color w:val="auto"/>
          <w:szCs w:val="21"/>
        </w:rPr>
        <w:t>供应商应负责使用人员的培训及考核，并提供培训计划、培训记录、用户操作手册等。培训对象包括信息部门的系统管理员、日常维护人员、技术层面人员（包括系统开发、程序版本控制、数据库维护）；非信息部门的管理人员、操作员。系统管理人员培训内容为系统中涉及的相关技术内容；管理人员培训内容为系统流程和相关管理思想；操作员为系统的操作培训。供应商应提供完整的培训方案。</w:t>
      </w:r>
    </w:p>
    <w:p>
      <w:pPr>
        <w:spacing w:line="440" w:lineRule="exact"/>
        <w:ind w:firstLine="420" w:firstLineChars="200"/>
        <w:rPr>
          <w:rFonts w:ascii="宋体" w:hAnsi="宋体" w:cs="宋体"/>
          <w:color w:val="auto"/>
          <w:szCs w:val="21"/>
        </w:rPr>
      </w:pPr>
      <w:r>
        <w:rPr>
          <w:rFonts w:hint="eastAsia" w:ascii="宋体" w:hAnsi="宋体" w:cs="宋体"/>
          <w:color w:val="auto"/>
          <w:szCs w:val="21"/>
        </w:rPr>
        <w:t>注：以上“培训要求”须全部响应，否则投标将不被认可。</w:t>
      </w:r>
    </w:p>
    <w:p>
      <w:pPr>
        <w:spacing w:line="440" w:lineRule="exact"/>
        <w:ind w:firstLine="420" w:firstLineChars="200"/>
        <w:rPr>
          <w:rFonts w:ascii="宋体" w:hAnsi="宋体" w:cs="宋体"/>
          <w:color w:val="auto"/>
          <w:szCs w:val="21"/>
        </w:rPr>
      </w:pPr>
      <w:r>
        <w:rPr>
          <w:rFonts w:hint="eastAsia" w:ascii="宋体" w:hAnsi="宋体" w:cs="宋体"/>
          <w:color w:val="auto"/>
          <w:szCs w:val="21"/>
        </w:rPr>
        <w:t>（3）保密要求</w:t>
      </w:r>
    </w:p>
    <w:p>
      <w:pPr>
        <w:spacing w:line="440" w:lineRule="exact"/>
        <w:ind w:firstLine="420" w:firstLineChars="200"/>
        <w:rPr>
          <w:rFonts w:ascii="宋体" w:hAnsi="宋体" w:cs="宋体"/>
          <w:color w:val="auto"/>
          <w:szCs w:val="21"/>
        </w:rPr>
      </w:pPr>
      <w:r>
        <w:rPr>
          <w:rFonts w:hint="eastAsia" w:ascii="宋体" w:hAnsi="宋体" w:cs="宋体"/>
          <w:color w:val="auto"/>
          <w:szCs w:val="21"/>
        </w:rPr>
        <w:t>供应商承诺在实施和维护过程中，任何涉及医院的信息，包括但不限于医院数据、医院特有的功能需求等，未得到医院同意的情况下不得对任何第三方展示、举例乃至销售，否则供应商将承担由此产生的一切后果。</w:t>
      </w:r>
    </w:p>
    <w:p>
      <w:pPr>
        <w:spacing w:line="440" w:lineRule="exact"/>
        <w:ind w:firstLine="420" w:firstLineChars="200"/>
        <w:rPr>
          <w:rFonts w:ascii="宋体" w:hAnsi="宋体" w:cs="宋体"/>
          <w:color w:val="auto"/>
          <w:szCs w:val="21"/>
        </w:rPr>
      </w:pPr>
      <w:r>
        <w:rPr>
          <w:rFonts w:hint="eastAsia" w:ascii="宋体" w:hAnsi="宋体" w:cs="宋体"/>
          <w:color w:val="auto"/>
          <w:szCs w:val="21"/>
        </w:rPr>
        <w:t>注：以上“保密要求”条款须全部响应，否则投标将不被认可。</w:t>
      </w:r>
    </w:p>
    <w:p>
      <w:pPr>
        <w:spacing w:line="440" w:lineRule="exact"/>
        <w:ind w:firstLine="420" w:firstLineChars="200"/>
        <w:rPr>
          <w:rFonts w:ascii="宋体" w:hAnsi="宋体"/>
          <w:color w:val="auto"/>
          <w:szCs w:val="21"/>
        </w:rPr>
      </w:pPr>
    </w:p>
    <w:p>
      <w:pPr>
        <w:pStyle w:val="16"/>
        <w:spacing w:line="360" w:lineRule="auto"/>
        <w:ind w:firstLine="480" w:firstLineChars="200"/>
        <w:rPr>
          <w:color w:val="auto"/>
        </w:rPr>
      </w:pPr>
    </w:p>
    <w:p>
      <w:pPr>
        <w:pStyle w:val="16"/>
        <w:spacing w:line="360" w:lineRule="auto"/>
        <w:ind w:firstLine="480" w:firstLineChars="200"/>
        <w:rPr>
          <w:color w:val="auto"/>
        </w:rPr>
      </w:pPr>
    </w:p>
    <w:p>
      <w:pPr>
        <w:pStyle w:val="16"/>
        <w:spacing w:line="360" w:lineRule="auto"/>
        <w:ind w:firstLine="480" w:firstLineChars="200"/>
        <w:rPr>
          <w:color w:val="auto"/>
        </w:rPr>
      </w:pPr>
    </w:p>
    <w:p>
      <w:pPr>
        <w:pStyle w:val="16"/>
        <w:spacing w:line="360" w:lineRule="auto"/>
        <w:ind w:firstLine="480" w:firstLineChars="200"/>
        <w:rPr>
          <w:color w:val="auto"/>
        </w:rPr>
      </w:pPr>
    </w:p>
    <w:p>
      <w:pPr>
        <w:pStyle w:val="16"/>
        <w:spacing w:line="360" w:lineRule="auto"/>
        <w:ind w:firstLine="480" w:firstLineChars="200"/>
        <w:rPr>
          <w:color w:val="auto"/>
        </w:rPr>
      </w:pPr>
    </w:p>
    <w:p>
      <w:pPr>
        <w:pStyle w:val="16"/>
        <w:spacing w:line="360" w:lineRule="auto"/>
        <w:ind w:firstLine="480" w:firstLineChars="200"/>
        <w:rPr>
          <w:color w:val="auto"/>
        </w:rPr>
      </w:pPr>
    </w:p>
    <w:p>
      <w:pPr>
        <w:pStyle w:val="16"/>
        <w:spacing w:line="360" w:lineRule="auto"/>
        <w:ind w:firstLine="480" w:firstLineChars="200"/>
        <w:rPr>
          <w:color w:val="auto"/>
        </w:rPr>
      </w:pPr>
    </w:p>
    <w:p>
      <w:pPr>
        <w:pStyle w:val="16"/>
        <w:spacing w:line="360" w:lineRule="auto"/>
        <w:ind w:firstLine="480" w:firstLineChars="200"/>
        <w:rPr>
          <w:color w:val="auto"/>
        </w:rPr>
      </w:pPr>
    </w:p>
    <w:p>
      <w:pPr>
        <w:pStyle w:val="16"/>
        <w:spacing w:line="360" w:lineRule="auto"/>
        <w:ind w:firstLine="480" w:firstLineChars="200"/>
        <w:rPr>
          <w:color w:val="auto"/>
        </w:rPr>
      </w:pPr>
    </w:p>
    <w:p>
      <w:pPr>
        <w:pStyle w:val="16"/>
        <w:spacing w:line="360" w:lineRule="auto"/>
        <w:ind w:firstLine="480" w:firstLineChars="200"/>
        <w:rPr>
          <w:color w:val="auto"/>
        </w:rPr>
      </w:pPr>
    </w:p>
    <w:p>
      <w:pPr>
        <w:pStyle w:val="16"/>
        <w:spacing w:line="360" w:lineRule="auto"/>
        <w:ind w:firstLine="480" w:firstLineChars="200"/>
        <w:rPr>
          <w:color w:val="auto"/>
        </w:rPr>
      </w:pPr>
    </w:p>
    <w:p>
      <w:pPr>
        <w:pStyle w:val="16"/>
        <w:spacing w:line="360" w:lineRule="auto"/>
        <w:ind w:firstLine="480" w:firstLineChars="200"/>
        <w:rPr>
          <w:color w:val="auto"/>
        </w:rPr>
      </w:pPr>
    </w:p>
    <w:p>
      <w:pPr>
        <w:pStyle w:val="16"/>
        <w:spacing w:line="360" w:lineRule="auto"/>
        <w:ind w:firstLine="480" w:firstLineChars="200"/>
        <w:rPr>
          <w:color w:val="auto"/>
        </w:rPr>
      </w:pPr>
    </w:p>
    <w:p>
      <w:pPr>
        <w:pStyle w:val="16"/>
        <w:spacing w:line="360" w:lineRule="auto"/>
        <w:ind w:firstLine="480" w:firstLineChars="200"/>
        <w:rPr>
          <w:color w:val="auto"/>
        </w:rPr>
      </w:pPr>
    </w:p>
    <w:p>
      <w:pPr>
        <w:pStyle w:val="16"/>
        <w:spacing w:line="360" w:lineRule="auto"/>
        <w:ind w:firstLine="480" w:firstLineChars="200"/>
        <w:rPr>
          <w:color w:val="auto"/>
        </w:rPr>
      </w:pPr>
    </w:p>
    <w:p>
      <w:pPr>
        <w:pStyle w:val="16"/>
        <w:spacing w:line="360" w:lineRule="auto"/>
        <w:ind w:firstLine="480" w:firstLineChars="200"/>
        <w:rPr>
          <w:color w:val="auto"/>
        </w:rPr>
      </w:pPr>
    </w:p>
    <w:p>
      <w:pPr>
        <w:pStyle w:val="16"/>
        <w:spacing w:line="360" w:lineRule="auto"/>
        <w:ind w:firstLine="480" w:firstLineChars="200"/>
        <w:rPr>
          <w:color w:val="auto"/>
        </w:rPr>
      </w:pPr>
    </w:p>
    <w:p>
      <w:pPr>
        <w:pStyle w:val="16"/>
        <w:spacing w:line="360" w:lineRule="auto"/>
        <w:ind w:firstLine="480" w:firstLineChars="200"/>
        <w:rPr>
          <w:color w:val="auto"/>
        </w:rPr>
      </w:pPr>
    </w:p>
    <w:p>
      <w:pPr>
        <w:pStyle w:val="16"/>
        <w:spacing w:line="360" w:lineRule="auto"/>
        <w:ind w:firstLine="480" w:firstLineChars="200"/>
        <w:rPr>
          <w:color w:val="auto"/>
        </w:rPr>
      </w:pPr>
    </w:p>
    <w:p>
      <w:pPr>
        <w:pStyle w:val="16"/>
        <w:spacing w:line="360" w:lineRule="auto"/>
        <w:ind w:firstLine="480" w:firstLineChars="200"/>
        <w:rPr>
          <w:color w:val="auto"/>
        </w:rPr>
      </w:pPr>
    </w:p>
    <w:p>
      <w:pPr>
        <w:pStyle w:val="16"/>
        <w:spacing w:line="360" w:lineRule="auto"/>
        <w:ind w:firstLine="480" w:firstLineChars="200"/>
        <w:rPr>
          <w:color w:val="auto"/>
        </w:rPr>
      </w:pPr>
    </w:p>
    <w:p>
      <w:pPr>
        <w:pStyle w:val="16"/>
        <w:spacing w:line="360" w:lineRule="auto"/>
        <w:ind w:firstLine="480" w:firstLineChars="200"/>
        <w:rPr>
          <w:color w:val="auto"/>
        </w:rPr>
      </w:pPr>
    </w:p>
    <w:bookmarkEnd w:id="585"/>
    <w:bookmarkEnd w:id="586"/>
    <w:bookmarkEnd w:id="587"/>
    <w:bookmarkEnd w:id="588"/>
    <w:bookmarkEnd w:id="589"/>
    <w:bookmarkEnd w:id="590"/>
    <w:bookmarkEnd w:id="591"/>
    <w:p>
      <w:pPr>
        <w:spacing w:before="156" w:beforeLines="50" w:after="156" w:afterLines="50"/>
        <w:jc w:val="center"/>
        <w:outlineLvl w:val="0"/>
        <w:rPr>
          <w:rFonts w:ascii="宋体"/>
          <w:b/>
          <w:color w:val="auto"/>
          <w:sz w:val="32"/>
          <w:szCs w:val="32"/>
        </w:rPr>
      </w:pPr>
      <w:bookmarkStart w:id="592" w:name="_Toc58430332"/>
      <w:bookmarkStart w:id="593" w:name="_Toc449028948"/>
      <w:bookmarkStart w:id="594" w:name="_Toc246996374"/>
      <w:bookmarkStart w:id="595" w:name="_Toc296602622"/>
      <w:bookmarkStart w:id="596" w:name="_Toc179632833"/>
      <w:bookmarkStart w:id="597" w:name="_Toc152045813"/>
      <w:bookmarkStart w:id="598" w:name="_Toc247085892"/>
      <w:bookmarkStart w:id="599" w:name="_Toc144974881"/>
      <w:bookmarkStart w:id="600" w:name="_Toc246997117"/>
      <w:bookmarkStart w:id="601" w:name="_Toc152042602"/>
      <w:r>
        <w:rPr>
          <w:rFonts w:hint="eastAsia" w:ascii="宋体"/>
          <w:b/>
          <w:color w:val="auto"/>
          <w:sz w:val="32"/>
          <w:szCs w:val="32"/>
        </w:rPr>
        <w:t>第四章 合同条款及格式参考范本（服务类）</w:t>
      </w:r>
    </w:p>
    <w:p>
      <w:pPr>
        <w:widowControl/>
        <w:spacing w:line="400" w:lineRule="exact"/>
        <w:ind w:left="360"/>
        <w:jc w:val="center"/>
        <w:textAlignment w:val="baseline"/>
        <w:outlineLvl w:val="1"/>
        <w:rPr>
          <w:rFonts w:ascii="宋体"/>
          <w:b/>
          <w:color w:val="auto"/>
          <w:sz w:val="30"/>
          <w:szCs w:val="30"/>
        </w:rPr>
      </w:pPr>
      <w:bookmarkStart w:id="602" w:name="_Toc58430330"/>
    </w:p>
    <w:p>
      <w:pPr>
        <w:widowControl/>
        <w:spacing w:line="400" w:lineRule="exact"/>
        <w:ind w:left="360"/>
        <w:jc w:val="center"/>
        <w:textAlignment w:val="baseline"/>
        <w:outlineLvl w:val="1"/>
        <w:rPr>
          <w:rFonts w:ascii="宋体"/>
          <w:b/>
          <w:color w:val="auto"/>
          <w:sz w:val="30"/>
          <w:szCs w:val="30"/>
        </w:rPr>
      </w:pPr>
    </w:p>
    <w:p>
      <w:pPr>
        <w:widowControl/>
        <w:spacing w:line="400" w:lineRule="exact"/>
        <w:ind w:left="360"/>
        <w:jc w:val="center"/>
        <w:textAlignment w:val="baseline"/>
        <w:outlineLvl w:val="1"/>
        <w:rPr>
          <w:rFonts w:ascii="宋体"/>
          <w:b/>
          <w:color w:val="auto"/>
          <w:sz w:val="30"/>
          <w:szCs w:val="30"/>
        </w:rPr>
      </w:pPr>
    </w:p>
    <w:p>
      <w:pPr>
        <w:widowControl/>
        <w:spacing w:line="400" w:lineRule="exact"/>
        <w:ind w:left="360"/>
        <w:jc w:val="center"/>
        <w:textAlignment w:val="baseline"/>
        <w:outlineLvl w:val="1"/>
        <w:rPr>
          <w:rFonts w:ascii="黑体" w:eastAsia="黑体"/>
          <w:b/>
          <w:color w:val="auto"/>
          <w:sz w:val="30"/>
          <w:szCs w:val="30"/>
        </w:rPr>
      </w:pPr>
      <w:r>
        <w:rPr>
          <w:rFonts w:hint="eastAsia" w:ascii="宋体"/>
          <w:b/>
          <w:color w:val="auto"/>
          <w:sz w:val="30"/>
          <w:szCs w:val="30"/>
        </w:rPr>
        <w:t>一</w:t>
      </w:r>
      <w:bookmarkStart w:id="603" w:name="_Toc449028946"/>
      <w:r>
        <w:rPr>
          <w:rFonts w:hint="eastAsia" w:ascii="宋体"/>
          <w:b/>
          <w:color w:val="auto"/>
          <w:sz w:val="30"/>
          <w:szCs w:val="30"/>
        </w:rPr>
        <w:t>、合同协议书（格式）</w:t>
      </w:r>
      <w:bookmarkEnd w:id="602"/>
      <w:bookmarkEnd w:id="603"/>
    </w:p>
    <w:p>
      <w:pPr>
        <w:spacing w:before="120" w:line="480" w:lineRule="auto"/>
        <w:ind w:left="960"/>
        <w:rPr>
          <w:rFonts w:ascii="宋体" w:hAnsi="宋体"/>
          <w:color w:val="auto"/>
          <w:sz w:val="24"/>
        </w:rPr>
      </w:pPr>
    </w:p>
    <w:p>
      <w:pPr>
        <w:spacing w:before="120" w:line="480" w:lineRule="auto"/>
        <w:ind w:left="960"/>
        <w:rPr>
          <w:rFonts w:ascii="宋体" w:hAnsi="宋体"/>
          <w:color w:val="auto"/>
          <w:sz w:val="24"/>
        </w:rPr>
      </w:pPr>
    </w:p>
    <w:p>
      <w:pPr>
        <w:spacing w:before="120" w:line="480" w:lineRule="auto"/>
        <w:ind w:left="960"/>
        <w:rPr>
          <w:rFonts w:ascii="宋体" w:hAnsi="宋体"/>
          <w:color w:val="auto"/>
          <w:sz w:val="24"/>
        </w:rPr>
      </w:pPr>
    </w:p>
    <w:p>
      <w:pPr>
        <w:spacing w:before="120" w:line="480" w:lineRule="auto"/>
        <w:ind w:left="960"/>
        <w:rPr>
          <w:rFonts w:ascii="宋体" w:hAnsi="宋体"/>
          <w:color w:val="auto"/>
          <w:sz w:val="24"/>
        </w:rPr>
      </w:pPr>
    </w:p>
    <w:p>
      <w:pPr>
        <w:spacing w:before="120" w:line="480" w:lineRule="auto"/>
        <w:ind w:left="960"/>
        <w:rPr>
          <w:rFonts w:ascii="宋体" w:hAnsi="宋体"/>
          <w:color w:val="auto"/>
          <w:sz w:val="24"/>
        </w:rPr>
      </w:pPr>
    </w:p>
    <w:p>
      <w:pPr>
        <w:spacing w:before="120" w:line="480" w:lineRule="auto"/>
        <w:ind w:left="960"/>
        <w:rPr>
          <w:rFonts w:ascii="宋体" w:hAnsi="宋体"/>
          <w:color w:val="auto"/>
          <w:szCs w:val="21"/>
        </w:rPr>
      </w:pPr>
      <w:r>
        <w:rPr>
          <w:rFonts w:hint="eastAsia" w:ascii="宋体" w:hAnsi="宋体"/>
          <w:color w:val="auto"/>
          <w:szCs w:val="21"/>
        </w:rPr>
        <w:t xml:space="preserve">项目名称：    </w:t>
      </w:r>
    </w:p>
    <w:p>
      <w:pPr>
        <w:spacing w:before="120" w:line="480" w:lineRule="auto"/>
        <w:ind w:left="960"/>
        <w:rPr>
          <w:rFonts w:ascii="宋体" w:hAnsi="宋体"/>
          <w:color w:val="auto"/>
          <w:szCs w:val="21"/>
        </w:rPr>
      </w:pPr>
      <w:r>
        <w:rPr>
          <w:rFonts w:hint="eastAsia" w:ascii="宋体" w:hAnsi="宋体"/>
          <w:color w:val="auto"/>
          <w:szCs w:val="21"/>
        </w:rPr>
        <w:t>项目编号：</w:t>
      </w:r>
    </w:p>
    <w:p>
      <w:pPr>
        <w:spacing w:before="120" w:line="480" w:lineRule="auto"/>
        <w:ind w:left="960"/>
        <w:rPr>
          <w:rFonts w:ascii="宋体" w:hAnsi="宋体"/>
          <w:color w:val="auto"/>
          <w:szCs w:val="21"/>
          <w:u w:val="single"/>
        </w:rPr>
      </w:pPr>
      <w:r>
        <w:rPr>
          <w:rFonts w:hint="eastAsia" w:ascii="宋体" w:hAnsi="宋体"/>
          <w:color w:val="auto"/>
          <w:szCs w:val="21"/>
        </w:rPr>
        <w:t>甲方（采购人）：</w:t>
      </w:r>
      <w:r>
        <w:rPr>
          <w:rFonts w:hint="eastAsia" w:ascii="宋体" w:hAnsi="宋体"/>
          <w:color w:val="auto"/>
          <w:szCs w:val="21"/>
          <w:u w:val="single"/>
        </w:rPr>
        <w:t xml:space="preserve">                              </w:t>
      </w:r>
    </w:p>
    <w:p>
      <w:pPr>
        <w:spacing w:before="120" w:line="480" w:lineRule="auto"/>
        <w:ind w:left="960"/>
        <w:rPr>
          <w:rFonts w:ascii="宋体" w:hAnsi="宋体"/>
          <w:color w:val="auto"/>
          <w:szCs w:val="21"/>
          <w:u w:val="single"/>
        </w:rPr>
      </w:pPr>
      <w:r>
        <w:rPr>
          <w:rFonts w:hint="eastAsia" w:ascii="宋体" w:hAnsi="宋体"/>
          <w:color w:val="auto"/>
          <w:szCs w:val="21"/>
        </w:rPr>
        <w:t>乙方（中标人）：</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p>
    <w:p>
      <w:pPr>
        <w:spacing w:before="120" w:line="480" w:lineRule="auto"/>
        <w:ind w:firstLine="840" w:firstLineChars="400"/>
        <w:rPr>
          <w:rFonts w:ascii="宋体" w:hAnsi="宋体"/>
          <w:color w:val="auto"/>
          <w:szCs w:val="21"/>
          <w:u w:val="single"/>
        </w:rPr>
      </w:pPr>
      <w:r>
        <w:rPr>
          <w:rFonts w:hint="eastAsia" w:ascii="宋体" w:hAnsi="宋体"/>
          <w:color w:val="auto"/>
          <w:szCs w:val="21"/>
        </w:rPr>
        <w:t>签订地：</w:t>
      </w:r>
      <w:r>
        <w:rPr>
          <w:rFonts w:hint="eastAsia" w:ascii="宋体" w:hAnsi="宋体"/>
          <w:color w:val="auto"/>
          <w:szCs w:val="21"/>
          <w:u w:val="single"/>
        </w:rPr>
        <w:t xml:space="preserve">                                     </w:t>
      </w:r>
    </w:p>
    <w:p>
      <w:pPr>
        <w:spacing w:before="120" w:line="480" w:lineRule="auto"/>
        <w:ind w:firstLine="840" w:firstLineChars="400"/>
        <w:rPr>
          <w:rFonts w:ascii="宋体" w:hAnsi="宋体"/>
          <w:color w:val="auto"/>
          <w:szCs w:val="21"/>
        </w:rPr>
      </w:pPr>
      <w:r>
        <w:rPr>
          <w:rFonts w:hint="eastAsia" w:ascii="宋体" w:hAnsi="宋体"/>
          <w:color w:val="auto"/>
          <w:szCs w:val="21"/>
        </w:rPr>
        <w:t>签订日期：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widowControl/>
        <w:jc w:val="left"/>
        <w:rPr>
          <w:rFonts w:ascii="宋体" w:hAnsi="宋体"/>
          <w:color w:val="auto"/>
          <w:szCs w:val="21"/>
        </w:rPr>
      </w:pPr>
      <w:r>
        <w:rPr>
          <w:rFonts w:ascii="宋体" w:hAnsi="宋体"/>
          <w:color w:val="auto"/>
          <w:szCs w:val="21"/>
        </w:rPr>
        <w:br w:type="page"/>
      </w:r>
    </w:p>
    <w:p>
      <w:pPr>
        <w:spacing w:line="360" w:lineRule="auto"/>
        <w:ind w:firstLine="435"/>
        <w:rPr>
          <w:rFonts w:ascii="宋体" w:hAnsi="宋体"/>
          <w:color w:val="auto"/>
          <w:szCs w:val="21"/>
        </w:rPr>
      </w:pPr>
      <w:r>
        <w:rPr>
          <w:rFonts w:hint="eastAsia" w:ascii="宋体" w:hAnsi="宋体"/>
          <w:i/>
          <w:iCs/>
          <w:color w:val="auto"/>
          <w:szCs w:val="21"/>
          <w:u w:val="single"/>
        </w:rPr>
        <w:t>（采购人名称）</w:t>
      </w:r>
      <w:r>
        <w:rPr>
          <w:rFonts w:hint="eastAsia" w:ascii="宋体" w:hAnsi="宋体"/>
          <w:color w:val="auto"/>
          <w:szCs w:val="21"/>
        </w:rPr>
        <w:t>（</w:t>
      </w:r>
      <w:r>
        <w:rPr>
          <w:rFonts w:hint="eastAsia" w:ascii="宋体" w:hAnsi="宋体"/>
          <w:color w:val="auto"/>
          <w:szCs w:val="21"/>
          <w:lang w:val="zh-CN"/>
        </w:rPr>
        <w:t>以下简称：甲方</w:t>
      </w:r>
      <w:r>
        <w:rPr>
          <w:rFonts w:hint="eastAsia" w:ascii="宋体" w:hAnsi="宋体"/>
          <w:color w:val="auto"/>
          <w:szCs w:val="21"/>
        </w:rPr>
        <w:t>）通过公开招标，经评标委员会评定，确定</w:t>
      </w:r>
      <w:r>
        <w:rPr>
          <w:rFonts w:hint="eastAsia" w:ascii="宋体" w:hAnsi="宋体"/>
          <w:i/>
          <w:iCs/>
          <w:color w:val="auto"/>
          <w:szCs w:val="21"/>
          <w:u w:val="single"/>
        </w:rPr>
        <w:t>（中标人名称）</w:t>
      </w:r>
      <w:r>
        <w:rPr>
          <w:rFonts w:hint="eastAsia" w:ascii="宋体" w:hAnsi="宋体"/>
          <w:color w:val="auto"/>
          <w:szCs w:val="21"/>
        </w:rPr>
        <w:t>（</w:t>
      </w:r>
      <w:r>
        <w:rPr>
          <w:rFonts w:hint="eastAsia" w:ascii="宋体" w:hAnsi="宋体"/>
          <w:color w:val="auto"/>
          <w:szCs w:val="21"/>
          <w:lang w:val="zh-CN"/>
        </w:rPr>
        <w:t>以下简称：乙方</w:t>
      </w:r>
      <w:r>
        <w:rPr>
          <w:rFonts w:hint="eastAsia" w:ascii="宋体" w:hAnsi="宋体"/>
          <w:color w:val="auto"/>
          <w:szCs w:val="21"/>
        </w:rPr>
        <w:t>）为本项目中标人，现按照采购文件确定的事项签订本合同。</w:t>
      </w:r>
    </w:p>
    <w:p>
      <w:pPr>
        <w:spacing w:line="360" w:lineRule="auto"/>
        <w:ind w:firstLine="435"/>
        <w:rPr>
          <w:rFonts w:ascii="宋体" w:hAnsi="宋体"/>
          <w:color w:val="auto"/>
          <w:szCs w:val="21"/>
          <w:lang w:val="zh-CN"/>
        </w:rPr>
      </w:pPr>
      <w:r>
        <w:rPr>
          <w:rFonts w:hint="eastAsia" w:ascii="宋体" w:hAnsi="宋体"/>
          <w:color w:val="auto"/>
          <w:szCs w:val="21"/>
        </w:rPr>
        <w:t>根据《中华人民共和国民法典》、《中华人民共和国政府采购法》等相关法律法规之规定，按照平等、自愿、公平和诚实信用的原则，经甲方和乙方协商一致，约定以下合同条款，以兹共同遵守、全面履行。</w:t>
      </w:r>
    </w:p>
    <w:p>
      <w:pPr>
        <w:spacing w:line="360" w:lineRule="auto"/>
        <w:ind w:firstLine="437"/>
        <w:outlineLvl w:val="3"/>
        <w:rPr>
          <w:rFonts w:ascii="宋体" w:hAnsi="宋体"/>
          <w:b/>
          <w:bCs/>
          <w:color w:val="auto"/>
          <w:szCs w:val="21"/>
          <w:lang w:val="zh-CN"/>
        </w:rPr>
      </w:pPr>
      <w:bookmarkStart w:id="604" w:name="_Toc3029"/>
      <w:bookmarkStart w:id="605" w:name="_Toc2232"/>
      <w:bookmarkStart w:id="606" w:name="_Toc24059"/>
      <w:r>
        <w:rPr>
          <w:rFonts w:hint="eastAsia" w:ascii="宋体" w:hAnsi="宋体"/>
          <w:b/>
          <w:bCs/>
          <w:color w:val="auto"/>
          <w:szCs w:val="21"/>
          <w:lang w:val="zh-CN"/>
        </w:rPr>
        <w:t>1.1</w:t>
      </w:r>
      <w:r>
        <w:rPr>
          <w:rFonts w:ascii="宋体" w:hAnsi="宋体"/>
          <w:b/>
          <w:bCs/>
          <w:color w:val="auto"/>
          <w:szCs w:val="21"/>
          <w:lang w:val="zh-CN"/>
        </w:rPr>
        <w:t xml:space="preserve"> </w:t>
      </w:r>
      <w:r>
        <w:rPr>
          <w:rFonts w:hint="eastAsia" w:ascii="宋体" w:hAnsi="宋体"/>
          <w:b/>
          <w:bCs/>
          <w:color w:val="auto"/>
          <w:szCs w:val="21"/>
          <w:lang w:val="zh-CN"/>
        </w:rPr>
        <w:t>合同组成部分</w:t>
      </w:r>
      <w:bookmarkEnd w:id="604"/>
      <w:bookmarkEnd w:id="605"/>
      <w:bookmarkEnd w:id="606"/>
    </w:p>
    <w:p>
      <w:pPr>
        <w:spacing w:line="360" w:lineRule="auto"/>
        <w:ind w:firstLine="435"/>
        <w:rPr>
          <w:rFonts w:ascii="宋体" w:hAnsi="宋体"/>
          <w:color w:val="auto"/>
          <w:szCs w:val="21"/>
          <w:lang w:val="zh-CN"/>
        </w:rPr>
      </w:pPr>
      <w:r>
        <w:rPr>
          <w:rFonts w:hint="eastAsia" w:ascii="宋体" w:hAnsi="宋体"/>
          <w:color w:val="auto"/>
          <w:szCs w:val="21"/>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pPr>
        <w:spacing w:line="360" w:lineRule="auto"/>
        <w:ind w:firstLine="435"/>
        <w:rPr>
          <w:rFonts w:ascii="宋体" w:hAnsi="宋体"/>
          <w:color w:val="auto"/>
          <w:szCs w:val="21"/>
          <w:lang w:val="zh-CN"/>
        </w:rPr>
      </w:pPr>
      <w:r>
        <w:rPr>
          <w:rFonts w:hint="eastAsia" w:ascii="宋体" w:hAnsi="宋体"/>
          <w:color w:val="auto"/>
          <w:szCs w:val="21"/>
          <w:lang w:val="zh-CN"/>
        </w:rPr>
        <w:t>1.1.1本合同及其补充合同、变更协议；</w:t>
      </w:r>
    </w:p>
    <w:p>
      <w:pPr>
        <w:spacing w:line="360" w:lineRule="auto"/>
        <w:ind w:firstLine="435"/>
        <w:rPr>
          <w:rFonts w:ascii="宋体" w:hAnsi="宋体"/>
          <w:color w:val="auto"/>
          <w:szCs w:val="21"/>
          <w:lang w:val="zh-CN"/>
        </w:rPr>
      </w:pPr>
      <w:r>
        <w:rPr>
          <w:rFonts w:hint="eastAsia" w:ascii="宋体" w:hAnsi="宋体"/>
          <w:color w:val="auto"/>
          <w:szCs w:val="21"/>
          <w:lang w:val="zh-CN"/>
        </w:rPr>
        <w:t>1.1.2中标通知书；</w:t>
      </w:r>
    </w:p>
    <w:p>
      <w:pPr>
        <w:spacing w:line="360" w:lineRule="auto"/>
        <w:ind w:firstLine="435"/>
        <w:rPr>
          <w:rFonts w:ascii="宋体" w:hAnsi="宋体"/>
          <w:color w:val="auto"/>
          <w:szCs w:val="21"/>
          <w:lang w:val="zh-CN"/>
        </w:rPr>
      </w:pPr>
      <w:r>
        <w:rPr>
          <w:rFonts w:hint="eastAsia" w:ascii="宋体" w:hAnsi="宋体"/>
          <w:color w:val="auto"/>
          <w:szCs w:val="21"/>
          <w:lang w:val="zh-CN"/>
        </w:rPr>
        <w:t>1.1.3投标文件（含澄清或者说明文件）；</w:t>
      </w:r>
    </w:p>
    <w:p>
      <w:pPr>
        <w:spacing w:line="360" w:lineRule="auto"/>
        <w:ind w:firstLine="435"/>
        <w:rPr>
          <w:rFonts w:ascii="宋体" w:hAnsi="宋体"/>
          <w:color w:val="auto"/>
          <w:szCs w:val="21"/>
          <w:lang w:val="zh-CN"/>
        </w:rPr>
      </w:pPr>
      <w:r>
        <w:rPr>
          <w:rFonts w:hint="eastAsia" w:ascii="宋体" w:hAnsi="宋体"/>
          <w:color w:val="auto"/>
          <w:szCs w:val="21"/>
          <w:lang w:val="zh-CN"/>
        </w:rPr>
        <w:t>1.1.4招标文件（含澄清或者修改文件）；</w:t>
      </w:r>
    </w:p>
    <w:p>
      <w:pPr>
        <w:spacing w:line="360" w:lineRule="auto"/>
        <w:ind w:firstLine="435"/>
        <w:rPr>
          <w:rFonts w:ascii="宋体" w:hAnsi="宋体"/>
          <w:color w:val="auto"/>
          <w:szCs w:val="21"/>
          <w:lang w:val="zh-CN"/>
        </w:rPr>
      </w:pPr>
      <w:r>
        <w:rPr>
          <w:rFonts w:hint="eastAsia" w:ascii="宋体" w:hAnsi="宋体"/>
          <w:color w:val="auto"/>
          <w:szCs w:val="21"/>
          <w:lang w:val="zh-CN"/>
        </w:rPr>
        <w:t>1.1.5其他相关采购文件。</w:t>
      </w:r>
    </w:p>
    <w:p>
      <w:pPr>
        <w:spacing w:line="360" w:lineRule="auto"/>
        <w:ind w:firstLine="437"/>
        <w:outlineLvl w:val="3"/>
        <w:rPr>
          <w:rFonts w:ascii="宋体" w:hAnsi="宋体"/>
          <w:b/>
          <w:bCs/>
          <w:color w:val="auto"/>
          <w:szCs w:val="21"/>
          <w:lang w:val="zh-CN"/>
        </w:rPr>
      </w:pPr>
      <w:bookmarkStart w:id="607" w:name="_Toc6773"/>
      <w:bookmarkStart w:id="608" w:name="_Toc18585"/>
      <w:bookmarkStart w:id="609" w:name="_Toc22185"/>
      <w:bookmarkStart w:id="610" w:name="_Toc2918"/>
      <w:bookmarkStart w:id="611" w:name="_Toc6311"/>
      <w:r>
        <w:rPr>
          <w:rFonts w:hint="eastAsia" w:ascii="宋体" w:hAnsi="宋体"/>
          <w:b/>
          <w:bCs/>
          <w:color w:val="auto"/>
          <w:szCs w:val="21"/>
          <w:lang w:val="zh-CN"/>
        </w:rPr>
        <w:t xml:space="preserve">1.2 </w:t>
      </w:r>
      <w:bookmarkEnd w:id="607"/>
      <w:bookmarkEnd w:id="608"/>
      <w:bookmarkEnd w:id="609"/>
      <w:bookmarkEnd w:id="610"/>
      <w:bookmarkEnd w:id="611"/>
      <w:r>
        <w:rPr>
          <w:rFonts w:hint="eastAsia" w:ascii="宋体" w:hAnsi="宋体"/>
          <w:b/>
          <w:bCs/>
          <w:color w:val="auto"/>
          <w:szCs w:val="21"/>
          <w:lang w:val="zh-CN"/>
        </w:rPr>
        <w:t>服务</w:t>
      </w:r>
    </w:p>
    <w:p>
      <w:pPr>
        <w:spacing w:line="360" w:lineRule="auto"/>
        <w:ind w:firstLine="435"/>
        <w:rPr>
          <w:rFonts w:ascii="宋体" w:hAnsi="宋体"/>
          <w:color w:val="auto"/>
          <w:szCs w:val="21"/>
          <w:u w:val="single"/>
        </w:rPr>
      </w:pPr>
      <w:r>
        <w:rPr>
          <w:rFonts w:hint="eastAsia" w:ascii="宋体" w:hAnsi="宋体"/>
          <w:color w:val="auto"/>
          <w:szCs w:val="21"/>
        </w:rPr>
        <w:t>1.2.1服务</w:t>
      </w:r>
      <w:r>
        <w:rPr>
          <w:rFonts w:ascii="宋体" w:hAnsi="宋体"/>
          <w:color w:val="auto"/>
          <w:szCs w:val="21"/>
        </w:rPr>
        <w:t>名称：</w:t>
      </w:r>
      <w:r>
        <w:rPr>
          <w:rFonts w:hint="eastAsia" w:ascii="宋体" w:hAnsi="宋体"/>
          <w:color w:val="auto"/>
          <w:szCs w:val="21"/>
          <w:u w:val="single"/>
        </w:rPr>
        <w:t xml:space="preserve">                                                </w:t>
      </w:r>
      <w:r>
        <w:rPr>
          <w:rFonts w:hint="eastAsia" w:ascii="宋体" w:hAnsi="宋体"/>
          <w:color w:val="auto"/>
          <w:szCs w:val="21"/>
        </w:rPr>
        <w:t>；</w:t>
      </w:r>
    </w:p>
    <w:p>
      <w:pPr>
        <w:spacing w:line="360" w:lineRule="auto"/>
        <w:ind w:firstLine="435"/>
        <w:rPr>
          <w:rFonts w:ascii="宋体" w:hAnsi="宋体"/>
          <w:color w:val="auto"/>
          <w:szCs w:val="21"/>
          <w:u w:val="single"/>
        </w:rPr>
      </w:pPr>
      <w:r>
        <w:rPr>
          <w:rFonts w:hint="eastAsia" w:ascii="宋体" w:hAnsi="宋体"/>
          <w:color w:val="auto"/>
          <w:szCs w:val="21"/>
        </w:rPr>
        <w:t>1.2.2服务内容</w:t>
      </w:r>
      <w:r>
        <w:rPr>
          <w:rFonts w:ascii="宋体" w:hAnsi="宋体"/>
          <w:color w:val="auto"/>
          <w:szCs w:val="21"/>
        </w:rPr>
        <w:t>：</w:t>
      </w:r>
      <w:r>
        <w:rPr>
          <w:rFonts w:hint="eastAsia" w:ascii="宋体" w:hAnsi="宋体"/>
          <w:color w:val="auto"/>
          <w:szCs w:val="21"/>
          <w:u w:val="single"/>
        </w:rPr>
        <w:t xml:space="preserve">                                                </w:t>
      </w:r>
      <w:r>
        <w:rPr>
          <w:rFonts w:hint="eastAsia" w:ascii="宋体" w:hAnsi="宋体"/>
          <w:color w:val="auto"/>
          <w:szCs w:val="21"/>
        </w:rPr>
        <w:t>；</w:t>
      </w:r>
    </w:p>
    <w:p>
      <w:pPr>
        <w:spacing w:line="360" w:lineRule="auto"/>
        <w:ind w:firstLine="435"/>
        <w:rPr>
          <w:rFonts w:ascii="宋体" w:hAnsi="宋体"/>
          <w:color w:val="auto"/>
          <w:szCs w:val="21"/>
        </w:rPr>
      </w:pPr>
      <w:r>
        <w:rPr>
          <w:rFonts w:hint="eastAsia" w:ascii="宋体" w:hAnsi="宋体"/>
          <w:color w:val="auto"/>
          <w:szCs w:val="21"/>
        </w:rPr>
        <w:t>1.2.3服务质量：</w:t>
      </w:r>
      <w:r>
        <w:rPr>
          <w:rFonts w:hint="eastAsia" w:ascii="宋体" w:hAnsi="宋体"/>
          <w:color w:val="auto"/>
          <w:szCs w:val="21"/>
          <w:u w:val="single"/>
        </w:rPr>
        <w:t xml:space="preserve">                                                </w:t>
      </w:r>
      <w:r>
        <w:rPr>
          <w:rFonts w:hint="eastAsia" w:ascii="宋体" w:hAnsi="宋体"/>
          <w:color w:val="auto"/>
          <w:szCs w:val="21"/>
        </w:rPr>
        <w:t>。</w:t>
      </w:r>
    </w:p>
    <w:p>
      <w:pPr>
        <w:spacing w:line="360" w:lineRule="auto"/>
        <w:ind w:firstLine="437"/>
        <w:outlineLvl w:val="3"/>
        <w:rPr>
          <w:rFonts w:ascii="宋体" w:hAnsi="宋体"/>
          <w:b/>
          <w:bCs/>
          <w:color w:val="auto"/>
          <w:szCs w:val="21"/>
          <w:lang w:val="zh-CN"/>
        </w:rPr>
      </w:pPr>
      <w:bookmarkStart w:id="612" w:name="_Toc23292"/>
      <w:bookmarkStart w:id="613" w:name="_Toc21631"/>
      <w:bookmarkStart w:id="614" w:name="_Toc21551"/>
      <w:r>
        <w:rPr>
          <w:rFonts w:hint="eastAsia" w:ascii="宋体" w:hAnsi="宋体"/>
          <w:b/>
          <w:bCs/>
          <w:color w:val="auto"/>
          <w:szCs w:val="21"/>
          <w:lang w:val="zh-CN"/>
        </w:rPr>
        <w:t>1.</w:t>
      </w:r>
      <w:r>
        <w:rPr>
          <w:rFonts w:ascii="宋体" w:hAnsi="宋体"/>
          <w:b/>
          <w:bCs/>
          <w:color w:val="auto"/>
          <w:szCs w:val="21"/>
          <w:lang w:val="zh-CN"/>
        </w:rPr>
        <w:t xml:space="preserve">3 </w:t>
      </w:r>
      <w:r>
        <w:rPr>
          <w:rFonts w:hint="eastAsia" w:ascii="宋体" w:hAnsi="宋体"/>
          <w:b/>
          <w:bCs/>
          <w:color w:val="auto"/>
          <w:szCs w:val="21"/>
          <w:lang w:val="zh-CN"/>
        </w:rPr>
        <w:t>价款</w:t>
      </w:r>
      <w:bookmarkEnd w:id="612"/>
      <w:bookmarkEnd w:id="613"/>
      <w:bookmarkEnd w:id="614"/>
    </w:p>
    <w:p>
      <w:pPr>
        <w:spacing w:line="360" w:lineRule="auto"/>
        <w:ind w:firstLine="435"/>
        <w:rPr>
          <w:rFonts w:ascii="宋体" w:hAnsi="宋体"/>
          <w:color w:val="auto"/>
          <w:szCs w:val="21"/>
        </w:rPr>
      </w:pPr>
      <w:r>
        <w:rPr>
          <w:rFonts w:ascii="宋体" w:hAnsi="宋体"/>
          <w:color w:val="auto"/>
          <w:szCs w:val="21"/>
        </w:rPr>
        <w:t>本合同总价为</w:t>
      </w:r>
      <w:r>
        <w:rPr>
          <w:rFonts w:hint="eastAsia" w:ascii="宋体" w:hAnsi="宋体"/>
          <w:color w:val="auto"/>
          <w:szCs w:val="21"/>
        </w:rPr>
        <w:t>：¥</w:t>
      </w:r>
      <w:r>
        <w:rPr>
          <w:rFonts w:hint="eastAsia" w:ascii="宋体" w:hAnsi="宋体"/>
          <w:color w:val="auto"/>
          <w:szCs w:val="21"/>
          <w:u w:val="single"/>
        </w:rPr>
        <w:t xml:space="preserve">           </w:t>
      </w:r>
      <w:r>
        <w:rPr>
          <w:rFonts w:ascii="宋体" w:hAnsi="宋体"/>
          <w:color w:val="auto"/>
          <w:szCs w:val="21"/>
        </w:rPr>
        <w:t>元</w:t>
      </w:r>
      <w:r>
        <w:rPr>
          <w:rFonts w:hint="eastAsia" w:ascii="宋体" w:hAnsi="宋体"/>
          <w:color w:val="auto"/>
          <w:szCs w:val="21"/>
        </w:rPr>
        <w:t>（大写：人民币</w:t>
      </w:r>
      <w:r>
        <w:rPr>
          <w:rFonts w:hint="eastAsia" w:ascii="宋体" w:hAnsi="宋体"/>
          <w:color w:val="auto"/>
          <w:szCs w:val="21"/>
          <w:u w:val="single"/>
        </w:rPr>
        <w:t xml:space="preserve">                 </w:t>
      </w:r>
      <w:r>
        <w:rPr>
          <w:rFonts w:hint="eastAsia" w:ascii="宋体" w:hAnsi="宋体"/>
          <w:color w:val="auto"/>
          <w:szCs w:val="21"/>
        </w:rPr>
        <w:t>元）</w:t>
      </w:r>
      <w:r>
        <w:rPr>
          <w:rFonts w:ascii="宋体" w:hAnsi="宋体"/>
          <w:color w:val="auto"/>
          <w:szCs w:val="21"/>
        </w:rPr>
        <w:t>。</w:t>
      </w:r>
    </w:p>
    <w:p>
      <w:pPr>
        <w:spacing w:line="360" w:lineRule="auto"/>
        <w:ind w:firstLine="435"/>
        <w:rPr>
          <w:rFonts w:ascii="宋体" w:hAnsi="宋体"/>
          <w:color w:val="auto"/>
          <w:szCs w:val="21"/>
          <w:u w:val="single"/>
        </w:rPr>
      </w:pPr>
      <w:r>
        <w:rPr>
          <w:rFonts w:ascii="宋体" w:hAnsi="宋体"/>
          <w:color w:val="auto"/>
          <w:szCs w:val="21"/>
        </w:rPr>
        <w:t>分项价格：</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4313"/>
        <w:gridCol w:w="12"/>
        <w:gridCol w:w="3229"/>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vAlign w:val="center"/>
          </w:tcPr>
          <w:p>
            <w:pPr>
              <w:jc w:val="center"/>
              <w:rPr>
                <w:rFonts w:ascii="宋体" w:hAnsi="宋体"/>
                <w:color w:val="auto"/>
                <w:szCs w:val="21"/>
                <w:lang w:val="zh-CN"/>
              </w:rPr>
            </w:pPr>
            <w:r>
              <w:rPr>
                <w:rFonts w:ascii="宋体" w:hAnsi="宋体"/>
                <w:color w:val="auto"/>
                <w:szCs w:val="21"/>
                <w:lang w:val="zh-CN"/>
              </w:rPr>
              <w:t>序号</w:t>
            </w:r>
          </w:p>
        </w:tc>
        <w:tc>
          <w:tcPr>
            <w:tcW w:w="4317" w:type="dxa"/>
            <w:vAlign w:val="center"/>
          </w:tcPr>
          <w:p>
            <w:pPr>
              <w:ind w:firstLine="200"/>
              <w:jc w:val="center"/>
              <w:rPr>
                <w:rFonts w:ascii="宋体" w:hAnsi="宋体"/>
                <w:color w:val="auto"/>
                <w:szCs w:val="21"/>
              </w:rPr>
            </w:pPr>
            <w:r>
              <w:rPr>
                <w:rFonts w:hint="eastAsia" w:ascii="宋体" w:hAnsi="宋体"/>
                <w:color w:val="auto"/>
                <w:szCs w:val="21"/>
              </w:rPr>
              <w:t>分项名称</w:t>
            </w:r>
          </w:p>
        </w:tc>
        <w:tc>
          <w:tcPr>
            <w:tcW w:w="3237" w:type="dxa"/>
            <w:gridSpan w:val="2"/>
            <w:vAlign w:val="center"/>
          </w:tcPr>
          <w:p>
            <w:pPr>
              <w:jc w:val="center"/>
              <w:rPr>
                <w:rFonts w:ascii="宋体" w:hAnsi="宋体"/>
                <w:color w:val="auto"/>
                <w:szCs w:val="21"/>
              </w:rPr>
            </w:pPr>
            <w:r>
              <w:rPr>
                <w:rFonts w:ascii="宋体" w:hAnsi="宋体"/>
                <w:color w:val="auto"/>
                <w:szCs w:val="21"/>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tcPr>
          <w:p>
            <w:pPr>
              <w:jc w:val="center"/>
              <w:rPr>
                <w:rFonts w:ascii="宋体" w:hAnsi="宋体"/>
                <w:color w:val="auto"/>
                <w:szCs w:val="21"/>
                <w:lang w:val="zh-CN"/>
              </w:rPr>
            </w:pPr>
            <w:r>
              <w:rPr>
                <w:rFonts w:hint="eastAsia" w:ascii="宋体" w:hAnsi="宋体"/>
                <w:color w:val="auto"/>
                <w:szCs w:val="21"/>
                <w:lang w:val="zh-CN"/>
              </w:rPr>
              <w:t>1</w:t>
            </w:r>
          </w:p>
        </w:tc>
        <w:tc>
          <w:tcPr>
            <w:tcW w:w="4317" w:type="dxa"/>
            <w:vAlign w:val="center"/>
          </w:tcPr>
          <w:p>
            <w:pPr>
              <w:ind w:firstLine="200"/>
              <w:jc w:val="center"/>
              <w:rPr>
                <w:rFonts w:ascii="宋体" w:hAnsi="宋体"/>
                <w:color w:val="auto"/>
                <w:szCs w:val="21"/>
              </w:rPr>
            </w:pPr>
          </w:p>
        </w:tc>
        <w:tc>
          <w:tcPr>
            <w:tcW w:w="3237" w:type="dxa"/>
            <w:gridSpan w:val="2"/>
            <w:vAlign w:val="center"/>
          </w:tcPr>
          <w:p>
            <w:pPr>
              <w:ind w:firstLine="20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tcPr>
          <w:p>
            <w:pPr>
              <w:jc w:val="center"/>
              <w:rPr>
                <w:rFonts w:ascii="宋体" w:hAnsi="宋体"/>
                <w:color w:val="auto"/>
                <w:szCs w:val="21"/>
                <w:lang w:val="zh-CN"/>
              </w:rPr>
            </w:pPr>
            <w:r>
              <w:rPr>
                <w:rFonts w:hint="eastAsia" w:ascii="宋体" w:hAnsi="宋体"/>
                <w:color w:val="auto"/>
                <w:szCs w:val="21"/>
                <w:lang w:val="zh-CN"/>
              </w:rPr>
              <w:t>2</w:t>
            </w:r>
          </w:p>
        </w:tc>
        <w:tc>
          <w:tcPr>
            <w:tcW w:w="4317" w:type="dxa"/>
            <w:vAlign w:val="center"/>
          </w:tcPr>
          <w:p>
            <w:pPr>
              <w:ind w:firstLine="200"/>
              <w:jc w:val="center"/>
              <w:rPr>
                <w:rFonts w:ascii="宋体" w:hAnsi="宋体"/>
                <w:color w:val="auto"/>
                <w:szCs w:val="21"/>
              </w:rPr>
            </w:pPr>
          </w:p>
        </w:tc>
        <w:tc>
          <w:tcPr>
            <w:tcW w:w="3237" w:type="dxa"/>
            <w:gridSpan w:val="2"/>
            <w:vAlign w:val="center"/>
          </w:tcPr>
          <w:p>
            <w:pPr>
              <w:ind w:firstLine="20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tcPr>
          <w:p>
            <w:pPr>
              <w:jc w:val="center"/>
              <w:rPr>
                <w:rFonts w:ascii="宋体" w:hAnsi="宋体"/>
                <w:color w:val="auto"/>
                <w:szCs w:val="21"/>
                <w:lang w:val="zh-CN"/>
              </w:rPr>
            </w:pPr>
            <w:r>
              <w:rPr>
                <w:rFonts w:ascii="宋体" w:hAnsi="宋体"/>
                <w:color w:val="auto"/>
                <w:szCs w:val="21"/>
                <w:lang w:val="zh-CN"/>
              </w:rPr>
              <w:t>3</w:t>
            </w:r>
          </w:p>
        </w:tc>
        <w:tc>
          <w:tcPr>
            <w:tcW w:w="4317" w:type="dxa"/>
            <w:vAlign w:val="center"/>
          </w:tcPr>
          <w:p>
            <w:pPr>
              <w:ind w:firstLine="200"/>
              <w:jc w:val="center"/>
              <w:rPr>
                <w:rFonts w:ascii="宋体" w:hAnsi="宋体"/>
                <w:color w:val="auto"/>
                <w:szCs w:val="21"/>
              </w:rPr>
            </w:pPr>
          </w:p>
        </w:tc>
        <w:tc>
          <w:tcPr>
            <w:tcW w:w="3237" w:type="dxa"/>
            <w:gridSpan w:val="2"/>
            <w:vAlign w:val="center"/>
          </w:tcPr>
          <w:p>
            <w:pPr>
              <w:ind w:firstLine="20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tcPr>
          <w:p>
            <w:pPr>
              <w:jc w:val="center"/>
              <w:rPr>
                <w:rFonts w:ascii="宋体" w:hAnsi="宋体"/>
                <w:color w:val="auto"/>
                <w:szCs w:val="21"/>
                <w:lang w:val="zh-CN"/>
              </w:rPr>
            </w:pPr>
            <w:r>
              <w:rPr>
                <w:rFonts w:hint="eastAsia" w:ascii="宋体" w:hAnsi="宋体"/>
                <w:color w:val="auto"/>
                <w:szCs w:val="21"/>
                <w:lang w:val="zh-CN"/>
              </w:rPr>
              <w:t>……</w:t>
            </w:r>
          </w:p>
        </w:tc>
        <w:tc>
          <w:tcPr>
            <w:tcW w:w="4317" w:type="dxa"/>
            <w:vAlign w:val="center"/>
          </w:tcPr>
          <w:p>
            <w:pPr>
              <w:ind w:firstLine="200"/>
              <w:jc w:val="center"/>
              <w:rPr>
                <w:rFonts w:ascii="宋体" w:hAnsi="宋体"/>
                <w:color w:val="auto"/>
                <w:szCs w:val="21"/>
              </w:rPr>
            </w:pPr>
          </w:p>
        </w:tc>
        <w:tc>
          <w:tcPr>
            <w:tcW w:w="3237" w:type="dxa"/>
            <w:gridSpan w:val="2"/>
            <w:vAlign w:val="center"/>
          </w:tcPr>
          <w:p>
            <w:pPr>
              <w:ind w:firstLine="20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85" w:type="dxa"/>
            <w:gridSpan w:val="3"/>
            <w:vAlign w:val="center"/>
          </w:tcPr>
          <w:p>
            <w:pPr>
              <w:ind w:firstLine="200"/>
              <w:jc w:val="center"/>
              <w:rPr>
                <w:rFonts w:ascii="宋体" w:hAnsi="宋体"/>
                <w:color w:val="auto"/>
                <w:szCs w:val="21"/>
              </w:rPr>
            </w:pPr>
            <w:r>
              <w:rPr>
                <w:rFonts w:hint="eastAsia" w:ascii="宋体" w:hAnsi="宋体"/>
                <w:color w:val="auto"/>
                <w:szCs w:val="21"/>
              </w:rPr>
              <w:t>总价</w:t>
            </w:r>
          </w:p>
        </w:tc>
        <w:tc>
          <w:tcPr>
            <w:tcW w:w="3237" w:type="dxa"/>
            <w:gridSpan w:val="2"/>
            <w:vAlign w:val="center"/>
          </w:tcPr>
          <w:p>
            <w:pPr>
              <w:ind w:firstLine="200"/>
              <w:jc w:val="center"/>
              <w:rPr>
                <w:rFonts w:ascii="宋体" w:hAnsi="宋体"/>
                <w:color w:val="auto"/>
                <w:szCs w:val="21"/>
              </w:rPr>
            </w:pPr>
          </w:p>
        </w:tc>
      </w:tr>
    </w:tbl>
    <w:p>
      <w:pPr>
        <w:spacing w:line="360" w:lineRule="auto"/>
        <w:ind w:firstLine="437"/>
        <w:outlineLvl w:val="3"/>
        <w:rPr>
          <w:rFonts w:ascii="宋体" w:hAnsi="宋体"/>
          <w:b/>
          <w:bCs/>
          <w:color w:val="auto"/>
          <w:szCs w:val="21"/>
          <w:lang w:val="zh-CN"/>
        </w:rPr>
      </w:pPr>
      <w:bookmarkStart w:id="615" w:name="_Toc22618"/>
      <w:bookmarkStart w:id="616" w:name="_Toc1814"/>
      <w:bookmarkStart w:id="617" w:name="_Toc10340"/>
      <w:r>
        <w:rPr>
          <w:rFonts w:hint="eastAsia" w:ascii="宋体" w:hAnsi="宋体"/>
          <w:b/>
          <w:bCs/>
          <w:color w:val="auto"/>
          <w:szCs w:val="21"/>
          <w:lang w:val="zh-CN"/>
        </w:rPr>
        <w:t>1.</w:t>
      </w:r>
      <w:r>
        <w:rPr>
          <w:rFonts w:ascii="宋体" w:hAnsi="宋体"/>
          <w:b/>
          <w:bCs/>
          <w:color w:val="auto"/>
          <w:szCs w:val="21"/>
          <w:lang w:val="zh-CN"/>
        </w:rPr>
        <w:t>4 付款方式和发票开具方式</w:t>
      </w:r>
      <w:bookmarkEnd w:id="615"/>
      <w:bookmarkEnd w:id="616"/>
      <w:bookmarkEnd w:id="617"/>
    </w:p>
    <w:p>
      <w:pPr>
        <w:pStyle w:val="237"/>
        <w:spacing w:before="0" w:beforeAutospacing="0" w:after="0" w:afterAutospacing="0" w:line="580" w:lineRule="exact"/>
        <w:ind w:firstLine="420" w:firstLineChars="200"/>
        <w:jc w:val="both"/>
        <w:rPr>
          <w:rFonts w:cs="Times New Roman"/>
          <w:color w:val="auto"/>
          <w:sz w:val="21"/>
          <w:szCs w:val="21"/>
        </w:rPr>
      </w:pPr>
      <w:r>
        <w:rPr>
          <w:rFonts w:hint="eastAsia" w:cs="Times New Roman"/>
          <w:color w:val="auto"/>
          <w:sz w:val="21"/>
          <w:szCs w:val="21"/>
        </w:rPr>
        <w:t>1.4.1</w:t>
      </w:r>
      <w:r>
        <w:rPr>
          <w:rFonts w:cs="Times New Roman"/>
          <w:color w:val="auto"/>
          <w:sz w:val="21"/>
          <w:szCs w:val="21"/>
        </w:rPr>
        <w:t>付款方式：</w:t>
      </w:r>
      <w:r>
        <w:rPr>
          <w:rFonts w:hint="eastAsia" w:cs="Times New Roman"/>
          <w:color w:val="auto"/>
          <w:sz w:val="21"/>
          <w:szCs w:val="21"/>
          <w:u w:val="single"/>
        </w:rPr>
        <w:t xml:space="preserve">                                            </w:t>
      </w:r>
    </w:p>
    <w:p>
      <w:pPr>
        <w:spacing w:line="360" w:lineRule="auto"/>
        <w:ind w:firstLine="435"/>
        <w:rPr>
          <w:rFonts w:ascii="宋体" w:hAnsi="宋体"/>
          <w:color w:val="auto"/>
          <w:szCs w:val="21"/>
        </w:rPr>
      </w:pPr>
      <w:r>
        <w:rPr>
          <w:rFonts w:hint="eastAsia" w:ascii="宋体" w:hAnsi="宋体"/>
          <w:color w:val="auto"/>
          <w:szCs w:val="21"/>
        </w:rPr>
        <w:t>1.4.2发票开具方式：</w:t>
      </w:r>
      <w:r>
        <w:rPr>
          <w:rFonts w:hint="eastAsia" w:ascii="宋体" w:hAnsi="宋体"/>
          <w:color w:val="auto"/>
          <w:szCs w:val="21"/>
          <w:u w:val="single"/>
        </w:rPr>
        <w:t xml:space="preserve">                                            </w:t>
      </w:r>
      <w:r>
        <w:rPr>
          <w:rFonts w:hint="eastAsia" w:ascii="宋体" w:hAnsi="宋体"/>
          <w:color w:val="auto"/>
          <w:szCs w:val="21"/>
        </w:rPr>
        <w:t>。</w:t>
      </w:r>
    </w:p>
    <w:p>
      <w:pPr>
        <w:spacing w:line="360" w:lineRule="auto"/>
        <w:ind w:firstLine="437"/>
        <w:outlineLvl w:val="3"/>
        <w:rPr>
          <w:rFonts w:ascii="宋体" w:hAnsi="宋体"/>
          <w:b/>
          <w:bCs/>
          <w:color w:val="auto"/>
          <w:szCs w:val="21"/>
          <w:lang w:val="zh-CN"/>
        </w:rPr>
      </w:pPr>
      <w:bookmarkStart w:id="618" w:name="_Toc2846"/>
      <w:bookmarkStart w:id="619" w:name="_Toc32071"/>
      <w:bookmarkStart w:id="620" w:name="_Toc19304"/>
      <w:r>
        <w:rPr>
          <w:rFonts w:hint="eastAsia" w:ascii="宋体" w:hAnsi="宋体"/>
          <w:b/>
          <w:bCs/>
          <w:color w:val="auto"/>
          <w:szCs w:val="21"/>
          <w:lang w:val="zh-CN"/>
        </w:rPr>
        <w:t>1.</w:t>
      </w:r>
      <w:r>
        <w:rPr>
          <w:rFonts w:ascii="宋体" w:hAnsi="宋体"/>
          <w:b/>
          <w:bCs/>
          <w:color w:val="auto"/>
          <w:szCs w:val="21"/>
          <w:lang w:val="zh-CN"/>
        </w:rPr>
        <w:t xml:space="preserve">5 </w:t>
      </w:r>
      <w:r>
        <w:rPr>
          <w:rFonts w:hint="eastAsia" w:ascii="宋体" w:hAnsi="宋体"/>
          <w:b/>
          <w:bCs/>
          <w:color w:val="auto"/>
          <w:szCs w:val="21"/>
          <w:lang w:val="zh-CN"/>
        </w:rPr>
        <w:t>服务</w:t>
      </w:r>
      <w:r>
        <w:rPr>
          <w:rFonts w:ascii="宋体" w:hAnsi="宋体"/>
          <w:b/>
          <w:bCs/>
          <w:color w:val="auto"/>
          <w:szCs w:val="21"/>
          <w:lang w:val="zh-CN"/>
        </w:rPr>
        <w:t>期限</w:t>
      </w:r>
      <w:r>
        <w:rPr>
          <w:rFonts w:hint="eastAsia" w:ascii="宋体" w:hAnsi="宋体"/>
          <w:b/>
          <w:bCs/>
          <w:color w:val="auto"/>
          <w:szCs w:val="21"/>
          <w:lang w:val="zh-CN"/>
        </w:rPr>
        <w:t>、地点和方式</w:t>
      </w:r>
      <w:bookmarkEnd w:id="618"/>
      <w:bookmarkEnd w:id="619"/>
      <w:bookmarkEnd w:id="620"/>
    </w:p>
    <w:p>
      <w:pPr>
        <w:spacing w:line="360" w:lineRule="auto"/>
        <w:ind w:firstLine="435"/>
        <w:rPr>
          <w:rFonts w:ascii="宋体" w:hAnsi="宋体"/>
          <w:color w:val="auto"/>
          <w:szCs w:val="21"/>
          <w:u w:val="single"/>
        </w:rPr>
      </w:pPr>
      <w:r>
        <w:rPr>
          <w:rFonts w:hint="eastAsia" w:ascii="宋体" w:hAnsi="宋体"/>
          <w:color w:val="auto"/>
          <w:szCs w:val="21"/>
        </w:rPr>
        <w:t>1.5.1服务期限</w:t>
      </w:r>
      <w:r>
        <w:rPr>
          <w:rFonts w:ascii="宋体" w:hAnsi="宋体"/>
          <w:color w:val="auto"/>
          <w:szCs w:val="21"/>
        </w:rPr>
        <w:t>：</w:t>
      </w:r>
      <w:r>
        <w:rPr>
          <w:rFonts w:hint="eastAsia" w:ascii="宋体" w:hAnsi="宋体"/>
          <w:color w:val="auto"/>
          <w:szCs w:val="21"/>
          <w:u w:val="single"/>
        </w:rPr>
        <w:t xml:space="preserve">                                                </w:t>
      </w:r>
      <w:r>
        <w:rPr>
          <w:rFonts w:hint="eastAsia" w:ascii="宋体" w:hAnsi="宋体"/>
          <w:color w:val="auto"/>
          <w:szCs w:val="21"/>
        </w:rPr>
        <w:t>；</w:t>
      </w:r>
    </w:p>
    <w:p>
      <w:pPr>
        <w:spacing w:line="360" w:lineRule="auto"/>
        <w:ind w:firstLine="435"/>
        <w:rPr>
          <w:rFonts w:ascii="宋体" w:hAnsi="宋体"/>
          <w:color w:val="auto"/>
          <w:szCs w:val="21"/>
        </w:rPr>
      </w:pPr>
      <w:r>
        <w:rPr>
          <w:rFonts w:hint="eastAsia" w:ascii="宋体" w:hAnsi="宋体"/>
          <w:color w:val="auto"/>
          <w:szCs w:val="21"/>
        </w:rPr>
        <w:t>1.5.2服务地点</w:t>
      </w:r>
      <w:r>
        <w:rPr>
          <w:rFonts w:ascii="宋体" w:hAnsi="宋体"/>
          <w:color w:val="auto"/>
          <w:szCs w:val="21"/>
        </w:rPr>
        <w:t>：</w:t>
      </w:r>
      <w:r>
        <w:rPr>
          <w:rFonts w:hint="eastAsia" w:ascii="宋体" w:hAnsi="宋体"/>
          <w:color w:val="auto"/>
          <w:szCs w:val="21"/>
          <w:u w:val="single"/>
        </w:rPr>
        <w:t xml:space="preserve">                                                </w:t>
      </w:r>
      <w:r>
        <w:rPr>
          <w:rFonts w:hint="eastAsia" w:ascii="宋体" w:hAnsi="宋体"/>
          <w:color w:val="auto"/>
          <w:szCs w:val="21"/>
        </w:rPr>
        <w:t>；</w:t>
      </w:r>
    </w:p>
    <w:p>
      <w:pPr>
        <w:spacing w:line="360" w:lineRule="auto"/>
        <w:ind w:firstLine="435"/>
        <w:rPr>
          <w:rFonts w:ascii="宋体" w:hAnsi="宋体"/>
          <w:color w:val="auto"/>
          <w:szCs w:val="21"/>
        </w:rPr>
      </w:pPr>
      <w:r>
        <w:rPr>
          <w:rFonts w:hint="eastAsia" w:ascii="宋体" w:hAnsi="宋体"/>
          <w:color w:val="auto"/>
          <w:szCs w:val="21"/>
        </w:rPr>
        <w:t>1.5.3服务方式：</w:t>
      </w:r>
      <w:r>
        <w:rPr>
          <w:rFonts w:hint="eastAsia" w:ascii="宋体" w:hAnsi="宋体"/>
          <w:color w:val="auto"/>
          <w:szCs w:val="21"/>
          <w:u w:val="single"/>
        </w:rPr>
        <w:t xml:space="preserve">                                                </w:t>
      </w:r>
      <w:r>
        <w:rPr>
          <w:rFonts w:hint="eastAsia" w:ascii="宋体" w:hAnsi="宋体"/>
          <w:color w:val="auto"/>
          <w:szCs w:val="21"/>
        </w:rPr>
        <w:t>。</w:t>
      </w:r>
    </w:p>
    <w:p>
      <w:pPr>
        <w:spacing w:line="360" w:lineRule="auto"/>
        <w:ind w:firstLine="437"/>
        <w:outlineLvl w:val="3"/>
        <w:rPr>
          <w:rFonts w:ascii="宋体" w:hAnsi="宋体"/>
          <w:b/>
          <w:bCs/>
          <w:color w:val="auto"/>
          <w:szCs w:val="21"/>
          <w:lang w:val="zh-CN"/>
        </w:rPr>
      </w:pPr>
      <w:bookmarkStart w:id="621" w:name="_Toc27250"/>
      <w:bookmarkStart w:id="622" w:name="_Toc19554"/>
      <w:bookmarkStart w:id="623" w:name="_Toc21423"/>
      <w:r>
        <w:rPr>
          <w:rFonts w:hint="eastAsia" w:ascii="宋体" w:hAnsi="宋体"/>
          <w:b/>
          <w:bCs/>
          <w:color w:val="auto"/>
          <w:szCs w:val="21"/>
          <w:lang w:val="zh-CN"/>
        </w:rPr>
        <w:t>1.6 违约责任</w:t>
      </w:r>
      <w:bookmarkEnd w:id="621"/>
      <w:bookmarkEnd w:id="622"/>
      <w:bookmarkEnd w:id="623"/>
    </w:p>
    <w:p>
      <w:pPr>
        <w:spacing w:line="360" w:lineRule="auto"/>
        <w:ind w:firstLine="435"/>
        <w:rPr>
          <w:rFonts w:ascii="宋体" w:hAnsi="宋体"/>
          <w:color w:val="auto"/>
          <w:szCs w:val="21"/>
        </w:rPr>
      </w:pPr>
      <w:r>
        <w:rPr>
          <w:rFonts w:hint="eastAsia" w:ascii="宋体" w:hAnsi="宋体"/>
          <w:color w:val="auto"/>
          <w:szCs w:val="21"/>
        </w:rPr>
        <w:t>1.6.1</w:t>
      </w:r>
      <w:r>
        <w:rPr>
          <w:rFonts w:ascii="宋体" w:hAnsi="宋体"/>
          <w:color w:val="auto"/>
          <w:szCs w:val="21"/>
        </w:rPr>
        <w:t>除不可抗力外，如果乙方没有按照本合同约定的期限</w:t>
      </w:r>
      <w:r>
        <w:rPr>
          <w:rFonts w:hint="eastAsia" w:ascii="宋体" w:hAnsi="宋体"/>
          <w:color w:val="auto"/>
          <w:szCs w:val="21"/>
        </w:rPr>
        <w:t>、</w:t>
      </w:r>
      <w:r>
        <w:rPr>
          <w:rFonts w:ascii="宋体" w:hAnsi="宋体"/>
          <w:color w:val="auto"/>
          <w:szCs w:val="21"/>
        </w:rPr>
        <w:t>地点和方式</w:t>
      </w:r>
      <w:r>
        <w:rPr>
          <w:rFonts w:hint="eastAsia" w:ascii="宋体" w:hAnsi="宋体"/>
          <w:color w:val="auto"/>
          <w:szCs w:val="21"/>
        </w:rPr>
        <w:t>履行</w:t>
      </w:r>
      <w:r>
        <w:rPr>
          <w:rFonts w:ascii="宋体" w:hAnsi="宋体"/>
          <w:color w:val="auto"/>
          <w:szCs w:val="21"/>
        </w:rPr>
        <w:t>，那么甲方可要求乙方支付违约金</w:t>
      </w:r>
      <w:r>
        <w:rPr>
          <w:rFonts w:hint="eastAsia" w:ascii="宋体" w:hAnsi="宋体"/>
          <w:color w:val="auto"/>
          <w:szCs w:val="21"/>
        </w:rPr>
        <w:t>，</w:t>
      </w:r>
      <w:r>
        <w:rPr>
          <w:rFonts w:ascii="宋体" w:hAnsi="宋体"/>
          <w:color w:val="auto"/>
          <w:szCs w:val="21"/>
        </w:rPr>
        <w:t>违约金按每迟延</w:t>
      </w:r>
      <w:r>
        <w:rPr>
          <w:rFonts w:hint="eastAsia" w:ascii="宋体" w:hAnsi="宋体"/>
          <w:color w:val="auto"/>
          <w:szCs w:val="21"/>
        </w:rPr>
        <w:t>履行</w:t>
      </w:r>
      <w:r>
        <w:rPr>
          <w:rFonts w:ascii="宋体" w:hAnsi="宋体"/>
          <w:color w:val="auto"/>
          <w:szCs w:val="21"/>
        </w:rPr>
        <w:t>一日的应提供而未</w:t>
      </w:r>
      <w:r>
        <w:rPr>
          <w:rFonts w:hint="eastAsia" w:ascii="宋体" w:hAnsi="宋体"/>
          <w:color w:val="auto"/>
          <w:szCs w:val="21"/>
        </w:rPr>
        <w:t>提供</w:t>
      </w:r>
      <w:r>
        <w:rPr>
          <w:rFonts w:ascii="宋体" w:hAnsi="宋体"/>
          <w:color w:val="auto"/>
          <w:szCs w:val="21"/>
        </w:rPr>
        <w:t>服务价格的</w:t>
      </w:r>
      <w:r>
        <w:rPr>
          <w:rFonts w:hint="eastAsia" w:ascii="宋体" w:hAnsi="宋体"/>
          <w:color w:val="auto"/>
          <w:szCs w:val="21"/>
          <w:u w:val="single"/>
        </w:rPr>
        <w:t>1</w:t>
      </w:r>
      <w:r>
        <w:rPr>
          <w:rFonts w:ascii="宋体" w:hAnsi="宋体"/>
          <w:color w:val="auto"/>
          <w:szCs w:val="21"/>
        </w:rPr>
        <w:t>%计算</w:t>
      </w:r>
      <w:r>
        <w:rPr>
          <w:rFonts w:hint="eastAsia" w:ascii="宋体" w:hAnsi="宋体"/>
          <w:color w:val="auto"/>
          <w:szCs w:val="21"/>
        </w:rPr>
        <w:t>，</w:t>
      </w:r>
      <w:r>
        <w:rPr>
          <w:rFonts w:ascii="宋体" w:hAnsi="宋体"/>
          <w:color w:val="auto"/>
          <w:szCs w:val="21"/>
        </w:rPr>
        <w:t>最高限额为</w:t>
      </w:r>
      <w:r>
        <w:rPr>
          <w:rFonts w:hint="eastAsia" w:ascii="宋体" w:hAnsi="宋体"/>
          <w:color w:val="auto"/>
          <w:szCs w:val="21"/>
        </w:rPr>
        <w:t>本</w:t>
      </w:r>
      <w:r>
        <w:rPr>
          <w:rFonts w:ascii="宋体" w:hAnsi="宋体"/>
          <w:color w:val="auto"/>
          <w:szCs w:val="21"/>
        </w:rPr>
        <w:t>合同总价的</w:t>
      </w:r>
      <w:r>
        <w:rPr>
          <w:rFonts w:hint="eastAsia" w:ascii="宋体" w:hAnsi="宋体"/>
          <w:color w:val="auto"/>
          <w:szCs w:val="21"/>
          <w:u w:val="single"/>
        </w:rPr>
        <w:t xml:space="preserve">1 </w:t>
      </w:r>
      <w:r>
        <w:rPr>
          <w:rFonts w:ascii="宋体" w:hAnsi="宋体"/>
          <w:color w:val="auto"/>
          <w:szCs w:val="21"/>
        </w:rPr>
        <w:t>%</w:t>
      </w:r>
      <w:r>
        <w:rPr>
          <w:rFonts w:hint="eastAsia" w:ascii="宋体" w:hAnsi="宋体"/>
          <w:color w:val="auto"/>
          <w:szCs w:val="21"/>
        </w:rPr>
        <w:t>；</w:t>
      </w:r>
      <w:r>
        <w:rPr>
          <w:rFonts w:ascii="宋体" w:hAnsi="宋体"/>
          <w:color w:val="auto"/>
          <w:szCs w:val="21"/>
        </w:rPr>
        <w:t>迟延</w:t>
      </w:r>
      <w:r>
        <w:rPr>
          <w:rFonts w:hint="eastAsia" w:ascii="宋体" w:hAnsi="宋体"/>
          <w:color w:val="auto"/>
          <w:szCs w:val="21"/>
        </w:rPr>
        <w:t>履行</w:t>
      </w:r>
      <w:r>
        <w:rPr>
          <w:rFonts w:ascii="宋体" w:hAnsi="宋体"/>
          <w:color w:val="auto"/>
          <w:szCs w:val="21"/>
        </w:rPr>
        <w:t>的违约金计算数额达到前述最高限额之日起</w:t>
      </w:r>
      <w:r>
        <w:rPr>
          <w:rFonts w:hint="eastAsia" w:ascii="宋体" w:hAnsi="宋体"/>
          <w:color w:val="auto"/>
          <w:szCs w:val="21"/>
        </w:rPr>
        <w:t>，</w:t>
      </w:r>
      <w:r>
        <w:rPr>
          <w:rFonts w:ascii="宋体" w:hAnsi="宋体"/>
          <w:color w:val="auto"/>
          <w:szCs w:val="21"/>
        </w:rPr>
        <w:t>甲方有权在要求乙方支付违约金的同时</w:t>
      </w:r>
      <w:r>
        <w:rPr>
          <w:rFonts w:hint="eastAsia" w:ascii="宋体" w:hAnsi="宋体"/>
          <w:color w:val="auto"/>
          <w:szCs w:val="21"/>
        </w:rPr>
        <w:t>，书面通知乙方</w:t>
      </w:r>
      <w:r>
        <w:rPr>
          <w:rFonts w:ascii="宋体" w:hAnsi="宋体"/>
          <w:color w:val="auto"/>
          <w:szCs w:val="21"/>
        </w:rPr>
        <w:t>解除本合同</w:t>
      </w:r>
      <w:r>
        <w:rPr>
          <w:rFonts w:hint="eastAsia" w:ascii="宋体" w:hAnsi="宋体"/>
          <w:color w:val="auto"/>
          <w:szCs w:val="21"/>
        </w:rPr>
        <w:t>；</w:t>
      </w:r>
    </w:p>
    <w:p>
      <w:pPr>
        <w:spacing w:line="360" w:lineRule="auto"/>
        <w:ind w:firstLine="435"/>
        <w:rPr>
          <w:rFonts w:ascii="宋体" w:hAnsi="宋体"/>
          <w:color w:val="auto"/>
          <w:szCs w:val="21"/>
        </w:rPr>
      </w:pPr>
      <w:r>
        <w:rPr>
          <w:rFonts w:hint="eastAsia" w:ascii="宋体" w:hAnsi="宋体"/>
          <w:color w:val="auto"/>
          <w:szCs w:val="21"/>
        </w:rPr>
        <w:t>1.6.2</w:t>
      </w:r>
      <w:r>
        <w:rPr>
          <w:rFonts w:ascii="宋体" w:hAnsi="宋体"/>
          <w:color w:val="auto"/>
          <w:szCs w:val="21"/>
        </w:rPr>
        <w:t>除不可抗力外，如果甲方没有按照本合同约定的付款方式付款，那么乙方可要求甲方支付违约金</w:t>
      </w:r>
      <w:r>
        <w:rPr>
          <w:rFonts w:hint="eastAsia" w:ascii="宋体" w:hAnsi="宋体"/>
          <w:color w:val="auto"/>
          <w:szCs w:val="21"/>
        </w:rPr>
        <w:t>，</w:t>
      </w:r>
      <w:r>
        <w:rPr>
          <w:rFonts w:ascii="宋体" w:hAnsi="宋体"/>
          <w:color w:val="auto"/>
          <w:szCs w:val="21"/>
        </w:rPr>
        <w:t>违约金按每迟延</w:t>
      </w:r>
      <w:r>
        <w:rPr>
          <w:rFonts w:hint="eastAsia" w:ascii="宋体" w:hAnsi="宋体"/>
          <w:color w:val="auto"/>
          <w:szCs w:val="21"/>
        </w:rPr>
        <w:t>付款</w:t>
      </w:r>
      <w:r>
        <w:rPr>
          <w:rFonts w:ascii="宋体" w:hAnsi="宋体"/>
          <w:color w:val="auto"/>
          <w:szCs w:val="21"/>
        </w:rPr>
        <w:t>一日的应付而未付款的</w:t>
      </w:r>
      <w:r>
        <w:rPr>
          <w:rFonts w:hint="eastAsia" w:ascii="宋体" w:hAnsi="宋体"/>
          <w:color w:val="auto"/>
          <w:szCs w:val="21"/>
          <w:u w:val="single"/>
        </w:rPr>
        <w:t xml:space="preserve">1 </w:t>
      </w:r>
      <w:r>
        <w:rPr>
          <w:rFonts w:ascii="宋体" w:hAnsi="宋体"/>
          <w:color w:val="auto"/>
          <w:szCs w:val="21"/>
        </w:rPr>
        <w:t>%计算</w:t>
      </w:r>
      <w:r>
        <w:rPr>
          <w:rFonts w:hint="eastAsia" w:ascii="宋体" w:hAnsi="宋体"/>
          <w:color w:val="auto"/>
          <w:szCs w:val="21"/>
        </w:rPr>
        <w:t>，</w:t>
      </w:r>
      <w:r>
        <w:rPr>
          <w:rFonts w:ascii="宋体" w:hAnsi="宋体"/>
          <w:color w:val="auto"/>
          <w:szCs w:val="21"/>
        </w:rPr>
        <w:t>最高限额为</w:t>
      </w:r>
      <w:r>
        <w:rPr>
          <w:rFonts w:hint="eastAsia" w:ascii="宋体" w:hAnsi="宋体"/>
          <w:color w:val="auto"/>
          <w:szCs w:val="21"/>
        </w:rPr>
        <w:t>本</w:t>
      </w:r>
      <w:r>
        <w:rPr>
          <w:rFonts w:ascii="宋体" w:hAnsi="宋体"/>
          <w:color w:val="auto"/>
          <w:szCs w:val="21"/>
        </w:rPr>
        <w:t>合同总价的</w:t>
      </w:r>
      <w:r>
        <w:rPr>
          <w:rFonts w:hint="eastAsia" w:ascii="宋体" w:hAnsi="宋体"/>
          <w:color w:val="auto"/>
          <w:szCs w:val="21"/>
          <w:u w:val="single"/>
        </w:rPr>
        <w:t xml:space="preserve">1 </w:t>
      </w:r>
      <w:r>
        <w:rPr>
          <w:rFonts w:ascii="宋体" w:hAnsi="宋体"/>
          <w:color w:val="auto"/>
          <w:szCs w:val="21"/>
        </w:rPr>
        <w:t>%</w:t>
      </w:r>
      <w:r>
        <w:rPr>
          <w:rFonts w:hint="eastAsia" w:ascii="宋体" w:hAnsi="宋体"/>
          <w:color w:val="auto"/>
          <w:szCs w:val="21"/>
        </w:rPr>
        <w:t>；</w:t>
      </w:r>
      <w:r>
        <w:rPr>
          <w:rFonts w:ascii="宋体" w:hAnsi="宋体"/>
          <w:color w:val="auto"/>
          <w:szCs w:val="21"/>
        </w:rPr>
        <w:t>迟延</w:t>
      </w:r>
      <w:r>
        <w:rPr>
          <w:rFonts w:hint="eastAsia" w:ascii="宋体" w:hAnsi="宋体"/>
          <w:color w:val="auto"/>
          <w:szCs w:val="21"/>
        </w:rPr>
        <w:t>付款</w:t>
      </w:r>
      <w:r>
        <w:rPr>
          <w:rFonts w:ascii="宋体" w:hAnsi="宋体"/>
          <w:color w:val="auto"/>
          <w:szCs w:val="21"/>
        </w:rPr>
        <w:t>的违约金计算数额达到前述最高限额之日起</w:t>
      </w:r>
      <w:r>
        <w:rPr>
          <w:rFonts w:hint="eastAsia" w:ascii="宋体" w:hAnsi="宋体"/>
          <w:color w:val="auto"/>
          <w:szCs w:val="21"/>
        </w:rPr>
        <w:t>，乙</w:t>
      </w:r>
      <w:r>
        <w:rPr>
          <w:rFonts w:ascii="宋体" w:hAnsi="宋体"/>
          <w:color w:val="auto"/>
          <w:szCs w:val="21"/>
        </w:rPr>
        <w:t>方有权在要求甲方支付违约金的同时</w:t>
      </w:r>
      <w:r>
        <w:rPr>
          <w:rFonts w:hint="eastAsia" w:ascii="宋体" w:hAnsi="宋体"/>
          <w:color w:val="auto"/>
          <w:szCs w:val="21"/>
        </w:rPr>
        <w:t>，书面通知甲方</w:t>
      </w:r>
      <w:r>
        <w:rPr>
          <w:rFonts w:ascii="宋体" w:hAnsi="宋体"/>
          <w:color w:val="auto"/>
          <w:szCs w:val="21"/>
        </w:rPr>
        <w:t>解除本合同</w:t>
      </w:r>
      <w:r>
        <w:rPr>
          <w:rFonts w:hint="eastAsia" w:ascii="宋体" w:hAnsi="宋体"/>
          <w:color w:val="auto"/>
          <w:szCs w:val="21"/>
        </w:rPr>
        <w:t>；</w:t>
      </w:r>
    </w:p>
    <w:p>
      <w:pPr>
        <w:spacing w:line="360" w:lineRule="auto"/>
        <w:ind w:firstLine="435"/>
        <w:rPr>
          <w:rFonts w:ascii="宋体" w:hAnsi="宋体"/>
          <w:color w:val="auto"/>
          <w:szCs w:val="21"/>
        </w:rPr>
      </w:pPr>
      <w:r>
        <w:rPr>
          <w:rFonts w:hint="eastAsia" w:ascii="宋体" w:hAnsi="宋体"/>
          <w:color w:val="auto"/>
          <w:szCs w:val="21"/>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35"/>
        <w:rPr>
          <w:rFonts w:ascii="宋体" w:hAnsi="宋体"/>
          <w:color w:val="auto"/>
          <w:szCs w:val="21"/>
        </w:rPr>
      </w:pPr>
      <w:r>
        <w:rPr>
          <w:rFonts w:hint="eastAsia" w:ascii="宋体" w:hAnsi="宋体"/>
          <w:color w:val="auto"/>
          <w:szCs w:val="21"/>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35"/>
        <w:rPr>
          <w:rFonts w:ascii="宋体" w:hAnsi="宋体"/>
          <w:color w:val="auto"/>
          <w:szCs w:val="21"/>
        </w:rPr>
      </w:pPr>
      <w:r>
        <w:rPr>
          <w:rFonts w:hint="eastAsia" w:ascii="宋体" w:hAnsi="宋体"/>
          <w:color w:val="auto"/>
          <w:szCs w:val="21"/>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35"/>
        <w:rPr>
          <w:rFonts w:ascii="宋体" w:hAnsi="宋体"/>
          <w:color w:val="auto"/>
          <w:szCs w:val="21"/>
        </w:rPr>
      </w:pPr>
      <w:r>
        <w:rPr>
          <w:rFonts w:hint="eastAsia" w:ascii="宋体" w:hAnsi="宋体"/>
          <w:color w:val="auto"/>
          <w:szCs w:val="21"/>
        </w:rPr>
        <w:t>1.6.6如果出现政府采购监督管理部门在处理投诉事项期间，书面通知甲方暂停采购活动的情形，或者询问或质疑事项可能影响中标结果的，导致甲方中止履行合同的情形，均不视为甲方违约。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437"/>
        <w:outlineLvl w:val="3"/>
        <w:rPr>
          <w:rFonts w:ascii="宋体" w:hAnsi="宋体"/>
          <w:b/>
          <w:bCs/>
          <w:color w:val="auto"/>
          <w:szCs w:val="21"/>
          <w:lang w:val="zh-CN"/>
        </w:rPr>
      </w:pPr>
      <w:bookmarkStart w:id="624" w:name="_Toc28375"/>
      <w:bookmarkStart w:id="625" w:name="_Toc15583"/>
      <w:bookmarkStart w:id="626" w:name="_Toc16021"/>
      <w:r>
        <w:rPr>
          <w:rFonts w:hint="eastAsia" w:ascii="宋体" w:hAnsi="宋体"/>
          <w:b/>
          <w:bCs/>
          <w:color w:val="auto"/>
          <w:szCs w:val="21"/>
          <w:lang w:val="zh-CN"/>
        </w:rPr>
        <w:t>1.7</w:t>
      </w:r>
      <w:r>
        <w:rPr>
          <w:rFonts w:ascii="宋体" w:hAnsi="宋体"/>
          <w:b/>
          <w:bCs/>
          <w:color w:val="auto"/>
          <w:szCs w:val="21"/>
          <w:lang w:val="zh-CN"/>
        </w:rPr>
        <w:t xml:space="preserve"> </w:t>
      </w:r>
      <w:r>
        <w:rPr>
          <w:rFonts w:hint="eastAsia" w:ascii="宋体" w:hAnsi="宋体"/>
          <w:b/>
          <w:bCs/>
          <w:color w:val="auto"/>
          <w:szCs w:val="21"/>
          <w:lang w:val="zh-CN"/>
        </w:rPr>
        <w:t>合同</w:t>
      </w:r>
      <w:r>
        <w:rPr>
          <w:rFonts w:ascii="宋体" w:hAnsi="宋体"/>
          <w:b/>
          <w:bCs/>
          <w:color w:val="auto"/>
          <w:szCs w:val="21"/>
          <w:lang w:val="zh-CN"/>
        </w:rPr>
        <w:t>争议的解决</w:t>
      </w:r>
      <w:bookmarkEnd w:id="624"/>
      <w:bookmarkEnd w:id="625"/>
      <w:bookmarkEnd w:id="626"/>
    </w:p>
    <w:p>
      <w:pPr>
        <w:spacing w:line="360" w:lineRule="auto"/>
        <w:ind w:firstLine="435"/>
        <w:rPr>
          <w:rFonts w:ascii="宋体" w:hAnsi="宋体"/>
          <w:color w:val="auto"/>
          <w:szCs w:val="21"/>
        </w:rPr>
      </w:pPr>
      <w:r>
        <w:rPr>
          <w:rFonts w:hint="eastAsia" w:ascii="宋体" w:hAnsi="宋体"/>
          <w:color w:val="auto"/>
          <w:szCs w:val="21"/>
        </w:rPr>
        <w:t>本合</w:t>
      </w:r>
      <w:r>
        <w:rPr>
          <w:rFonts w:ascii="宋体" w:hAnsi="宋体"/>
          <w:color w:val="auto"/>
          <w:szCs w:val="21"/>
        </w:rPr>
        <w:t>同履行过程中发生的任何争议，双方当事人均可</w:t>
      </w:r>
      <w:r>
        <w:rPr>
          <w:rFonts w:hint="eastAsia" w:ascii="宋体" w:hAnsi="宋体"/>
          <w:color w:val="auto"/>
          <w:szCs w:val="21"/>
        </w:rPr>
        <w:t>通过和解或者调解解决；不愿和解、调解或者和解、调解不成的，可以选择下列第</w:t>
      </w:r>
      <w:r>
        <w:rPr>
          <w:rFonts w:hint="eastAsia" w:ascii="宋体" w:hAnsi="宋体"/>
          <w:color w:val="auto"/>
          <w:szCs w:val="21"/>
          <w:u w:val="single"/>
        </w:rPr>
        <w:t xml:space="preserve"> 1.7.2  </w:t>
      </w:r>
      <w:r>
        <w:rPr>
          <w:rFonts w:hint="eastAsia" w:ascii="宋体" w:hAnsi="宋体"/>
          <w:color w:val="auto"/>
          <w:szCs w:val="21"/>
        </w:rPr>
        <w:t>种方式解决：</w:t>
      </w:r>
    </w:p>
    <w:p>
      <w:pPr>
        <w:spacing w:line="360" w:lineRule="auto"/>
        <w:ind w:firstLine="435"/>
        <w:rPr>
          <w:rFonts w:ascii="宋体" w:hAnsi="宋体"/>
          <w:color w:val="auto"/>
          <w:szCs w:val="21"/>
        </w:rPr>
      </w:pPr>
      <w:r>
        <w:rPr>
          <w:rFonts w:hint="eastAsia" w:ascii="宋体" w:hAnsi="宋体"/>
          <w:color w:val="auto"/>
          <w:szCs w:val="21"/>
        </w:rPr>
        <w:t>1.7.1将争议提交滁州仲裁委员会依申请仲裁时其现行有效的仲裁规则裁决；</w:t>
      </w:r>
    </w:p>
    <w:p>
      <w:pPr>
        <w:spacing w:line="360" w:lineRule="auto"/>
        <w:ind w:firstLine="435"/>
        <w:rPr>
          <w:rFonts w:ascii="宋体" w:hAnsi="宋体"/>
          <w:color w:val="auto"/>
          <w:szCs w:val="21"/>
        </w:rPr>
      </w:pPr>
      <w:r>
        <w:rPr>
          <w:rFonts w:hint="eastAsia" w:ascii="宋体" w:hAnsi="宋体"/>
          <w:color w:val="auto"/>
          <w:szCs w:val="21"/>
        </w:rPr>
        <w:t>1.7.2向甲方（采购人）</w:t>
      </w:r>
      <w:r>
        <w:rPr>
          <w:rFonts w:hint="eastAsia" w:ascii="宋体" w:cs="宋体"/>
          <w:color w:val="auto"/>
          <w:szCs w:val="21"/>
          <w:u w:color="000000"/>
        </w:rPr>
        <w:t>所在地</w:t>
      </w:r>
      <w:r>
        <w:rPr>
          <w:rFonts w:hint="eastAsia" w:ascii="宋体" w:hAnsi="宋体"/>
          <w:color w:val="auto"/>
          <w:szCs w:val="21"/>
        </w:rPr>
        <w:t>人民法院起诉。</w:t>
      </w:r>
    </w:p>
    <w:p>
      <w:pPr>
        <w:spacing w:line="360" w:lineRule="auto"/>
        <w:ind w:firstLine="437"/>
        <w:outlineLvl w:val="3"/>
        <w:rPr>
          <w:rFonts w:ascii="宋体" w:hAnsi="宋体"/>
          <w:b/>
          <w:bCs/>
          <w:color w:val="auto"/>
          <w:szCs w:val="21"/>
          <w:lang w:val="zh-CN"/>
        </w:rPr>
      </w:pPr>
      <w:bookmarkStart w:id="627" w:name="_Toc15322"/>
      <w:bookmarkStart w:id="628" w:name="_Toc11173"/>
      <w:bookmarkStart w:id="629" w:name="_Toc7245"/>
      <w:r>
        <w:rPr>
          <w:rFonts w:hint="eastAsia" w:ascii="宋体" w:hAnsi="宋体"/>
          <w:b/>
          <w:bCs/>
          <w:color w:val="auto"/>
          <w:szCs w:val="21"/>
          <w:lang w:val="zh-CN"/>
        </w:rPr>
        <w:t>1.8</w:t>
      </w:r>
      <w:r>
        <w:rPr>
          <w:rFonts w:ascii="宋体" w:hAnsi="宋体"/>
          <w:b/>
          <w:bCs/>
          <w:color w:val="auto"/>
          <w:szCs w:val="21"/>
          <w:lang w:val="zh-CN"/>
        </w:rPr>
        <w:t xml:space="preserve"> 合同生效</w:t>
      </w:r>
      <w:bookmarkEnd w:id="627"/>
      <w:bookmarkEnd w:id="628"/>
      <w:bookmarkEnd w:id="629"/>
    </w:p>
    <w:p>
      <w:pPr>
        <w:spacing w:line="360" w:lineRule="auto"/>
        <w:ind w:firstLine="435"/>
        <w:rPr>
          <w:rFonts w:ascii="宋体" w:hAnsi="宋体"/>
          <w:color w:val="auto"/>
          <w:szCs w:val="21"/>
        </w:rPr>
      </w:pPr>
      <w:r>
        <w:rPr>
          <w:rFonts w:ascii="宋体" w:hAnsi="宋体"/>
          <w:color w:val="auto"/>
          <w:szCs w:val="21"/>
        </w:rPr>
        <w:t>本合同自</w:t>
      </w:r>
      <w:r>
        <w:rPr>
          <w:rFonts w:hint="eastAsia" w:ascii="宋体" w:hAnsi="宋体"/>
          <w:color w:val="auto"/>
          <w:szCs w:val="21"/>
        </w:rPr>
        <w:t>双方当事人盖章时</w:t>
      </w:r>
      <w:r>
        <w:rPr>
          <w:rFonts w:ascii="宋体" w:hAnsi="宋体"/>
          <w:color w:val="auto"/>
          <w:szCs w:val="21"/>
        </w:rPr>
        <w:t>生效。</w:t>
      </w:r>
    </w:p>
    <w:p>
      <w:pPr>
        <w:autoSpaceDE w:val="0"/>
        <w:autoSpaceDN w:val="0"/>
        <w:adjustRightInd w:val="0"/>
        <w:spacing w:line="560" w:lineRule="exact"/>
        <w:rPr>
          <w:rFonts w:ascii="宋体" w:hAnsi="宋体"/>
          <w:color w:val="auto"/>
          <w:szCs w:val="21"/>
          <w:lang w:val="zh-CN"/>
        </w:rPr>
      </w:pPr>
    </w:p>
    <w:p>
      <w:pPr>
        <w:autoSpaceDE w:val="0"/>
        <w:autoSpaceDN w:val="0"/>
        <w:adjustRightInd w:val="0"/>
        <w:spacing w:line="560" w:lineRule="exact"/>
        <w:rPr>
          <w:rFonts w:ascii="宋体" w:hAnsi="宋体"/>
          <w:color w:val="auto"/>
          <w:szCs w:val="21"/>
          <w:lang w:val="zh-CN"/>
        </w:rPr>
      </w:pPr>
    </w:p>
    <w:p>
      <w:pPr>
        <w:autoSpaceDE w:val="0"/>
        <w:autoSpaceDN w:val="0"/>
        <w:adjustRightInd w:val="0"/>
        <w:spacing w:line="560" w:lineRule="exact"/>
        <w:rPr>
          <w:rFonts w:ascii="宋体" w:hAnsi="宋体"/>
          <w:bCs/>
          <w:color w:val="auto"/>
          <w:szCs w:val="21"/>
          <w:lang w:val="zh-CN"/>
        </w:rPr>
      </w:pPr>
      <w:r>
        <w:rPr>
          <w:rFonts w:hint="eastAsia" w:ascii="宋体" w:hAnsi="宋体"/>
          <w:bCs/>
          <w:color w:val="auto"/>
          <w:szCs w:val="21"/>
          <w:lang w:val="zh-CN"/>
        </w:rPr>
        <w:t xml:space="preserve">甲 </w:t>
      </w:r>
      <w:r>
        <w:rPr>
          <w:rFonts w:ascii="宋体" w:hAnsi="宋体"/>
          <w:bCs/>
          <w:color w:val="auto"/>
          <w:szCs w:val="21"/>
          <w:lang w:val="zh-CN"/>
        </w:rPr>
        <w:t xml:space="preserve">   </w:t>
      </w:r>
      <w:r>
        <w:rPr>
          <w:rFonts w:hint="eastAsia" w:ascii="宋体" w:hAnsi="宋体"/>
          <w:bCs/>
          <w:color w:val="auto"/>
          <w:szCs w:val="21"/>
          <w:lang w:val="zh-CN"/>
        </w:rPr>
        <w:t>方：</w:t>
      </w:r>
      <w:r>
        <w:rPr>
          <w:rFonts w:hint="eastAsia" w:ascii="宋体" w:hAnsi="宋体"/>
          <w:bCs/>
          <w:color w:val="auto"/>
          <w:szCs w:val="21"/>
          <w:u w:val="single"/>
          <w:lang w:val="zh-CN"/>
        </w:rPr>
        <w:t xml:space="preserve">    （单位盖章）     </w:t>
      </w:r>
      <w:r>
        <w:rPr>
          <w:rFonts w:hint="eastAsia" w:ascii="宋体" w:hAnsi="宋体"/>
          <w:bCs/>
          <w:color w:val="auto"/>
          <w:szCs w:val="21"/>
          <w:lang w:val="zh-CN"/>
        </w:rPr>
        <w:t xml:space="preserve">          乙</w:t>
      </w:r>
      <w:r>
        <w:rPr>
          <w:rFonts w:hint="eastAsia" w:ascii="宋体" w:hAnsi="宋体"/>
          <w:bCs/>
          <w:color w:val="auto"/>
          <w:szCs w:val="21"/>
        </w:rPr>
        <w:t xml:space="preserve">    </w:t>
      </w:r>
      <w:r>
        <w:rPr>
          <w:rFonts w:hint="eastAsia" w:ascii="宋体" w:hAnsi="宋体"/>
          <w:bCs/>
          <w:color w:val="auto"/>
          <w:szCs w:val="21"/>
          <w:lang w:val="zh-CN"/>
        </w:rPr>
        <w:t>方：</w:t>
      </w:r>
      <w:r>
        <w:rPr>
          <w:rFonts w:hint="eastAsia" w:ascii="宋体" w:hAnsi="宋体"/>
          <w:bCs/>
          <w:color w:val="auto"/>
          <w:szCs w:val="21"/>
          <w:u w:val="single"/>
          <w:lang w:val="zh-CN"/>
        </w:rPr>
        <w:t xml:space="preserve">    （单位盖章）     </w:t>
      </w:r>
    </w:p>
    <w:p>
      <w:pPr>
        <w:autoSpaceDE w:val="0"/>
        <w:autoSpaceDN w:val="0"/>
        <w:adjustRightInd w:val="0"/>
        <w:spacing w:line="560" w:lineRule="exact"/>
        <w:rPr>
          <w:rFonts w:ascii="宋体" w:hAnsi="宋体"/>
          <w:color w:val="auto"/>
          <w:szCs w:val="21"/>
          <w:lang w:val="zh-CN"/>
        </w:rPr>
      </w:pPr>
      <w:r>
        <w:rPr>
          <w:rFonts w:hint="eastAsia" w:ascii="宋体" w:hAnsi="宋体"/>
          <w:color w:val="auto"/>
          <w:szCs w:val="21"/>
          <w:lang w:val="zh-CN"/>
        </w:rPr>
        <w:t xml:space="preserve">法定代表人                             </w:t>
      </w:r>
      <w:r>
        <w:rPr>
          <w:rFonts w:ascii="宋体" w:hAnsi="宋体"/>
          <w:color w:val="auto"/>
          <w:szCs w:val="21"/>
          <w:lang w:val="zh-CN"/>
        </w:rPr>
        <w:t xml:space="preserve">  </w:t>
      </w:r>
      <w:r>
        <w:rPr>
          <w:rFonts w:hint="eastAsia" w:ascii="宋体" w:hAnsi="宋体"/>
          <w:color w:val="auto"/>
          <w:szCs w:val="21"/>
          <w:lang w:val="zh-CN"/>
        </w:rPr>
        <w:t>法定代表人</w:t>
      </w:r>
    </w:p>
    <w:p>
      <w:pPr>
        <w:autoSpaceDE w:val="0"/>
        <w:autoSpaceDN w:val="0"/>
        <w:adjustRightInd w:val="0"/>
        <w:spacing w:line="560" w:lineRule="exact"/>
        <w:rPr>
          <w:rFonts w:ascii="宋体" w:hAnsi="宋体"/>
          <w:color w:val="auto"/>
          <w:szCs w:val="21"/>
          <w:lang w:val="zh-CN"/>
        </w:rPr>
      </w:pPr>
      <w:r>
        <w:rPr>
          <w:rFonts w:hint="eastAsia" w:ascii="宋体" w:hAnsi="宋体"/>
          <w:color w:val="auto"/>
          <w:szCs w:val="21"/>
          <w:lang w:val="zh-CN"/>
        </w:rPr>
        <w:t>或授权代表（签字）：                     或授权代表（签字）：</w:t>
      </w:r>
    </w:p>
    <w:p>
      <w:pPr>
        <w:widowControl/>
        <w:spacing w:line="560" w:lineRule="exact"/>
        <w:jc w:val="left"/>
        <w:rPr>
          <w:rFonts w:ascii="宋体" w:hAnsi="宋体"/>
          <w:bCs/>
          <w:color w:val="auto"/>
          <w:szCs w:val="21"/>
        </w:rPr>
      </w:pPr>
      <w:bookmarkStart w:id="630" w:name="_Toc331685783"/>
      <w:r>
        <w:rPr>
          <w:rFonts w:hint="eastAsia" w:ascii="宋体" w:hAnsi="宋体"/>
          <w:bCs/>
          <w:color w:val="auto"/>
          <w:szCs w:val="21"/>
        </w:rPr>
        <w:t>时间：</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u w:val="single"/>
        </w:rPr>
        <w:t xml:space="preserve">  </w:t>
      </w:r>
      <w:r>
        <w:rPr>
          <w:rFonts w:hint="eastAsia" w:ascii="宋体" w:hAnsi="宋体"/>
          <w:bCs/>
          <w:color w:val="auto"/>
          <w:szCs w:val="21"/>
        </w:rPr>
        <w:t>年</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u w:val="single"/>
        </w:rPr>
        <w:t xml:space="preserve"> </w:t>
      </w:r>
      <w:r>
        <w:rPr>
          <w:rFonts w:hint="eastAsia" w:ascii="宋体" w:hAnsi="宋体"/>
          <w:bCs/>
          <w:color w:val="auto"/>
          <w:szCs w:val="21"/>
        </w:rPr>
        <w:t>月</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u w:val="single"/>
        </w:rPr>
        <w:t xml:space="preserve"> </w:t>
      </w:r>
      <w:r>
        <w:rPr>
          <w:rFonts w:hint="eastAsia" w:ascii="宋体" w:hAnsi="宋体"/>
          <w:bCs/>
          <w:color w:val="auto"/>
          <w:szCs w:val="21"/>
        </w:rPr>
        <w:t>日               时间：</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u w:val="single"/>
        </w:rPr>
        <w:t xml:space="preserve">  </w:t>
      </w:r>
      <w:r>
        <w:rPr>
          <w:rFonts w:hint="eastAsia" w:ascii="宋体" w:hAnsi="宋体"/>
          <w:bCs/>
          <w:color w:val="auto"/>
          <w:szCs w:val="21"/>
        </w:rPr>
        <w:t>年</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u w:val="single"/>
        </w:rPr>
        <w:t xml:space="preserve"> </w:t>
      </w:r>
      <w:r>
        <w:rPr>
          <w:rFonts w:hint="eastAsia" w:ascii="宋体" w:hAnsi="宋体"/>
          <w:bCs/>
          <w:color w:val="auto"/>
          <w:szCs w:val="21"/>
        </w:rPr>
        <w:t>月</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u w:val="single"/>
        </w:rPr>
        <w:t xml:space="preserve">  </w:t>
      </w:r>
      <w:r>
        <w:rPr>
          <w:rFonts w:hint="eastAsia" w:ascii="宋体" w:hAnsi="宋体"/>
          <w:bCs/>
          <w:color w:val="auto"/>
          <w:szCs w:val="21"/>
        </w:rPr>
        <w:t>日</w:t>
      </w:r>
    </w:p>
    <w:p>
      <w:pPr>
        <w:widowControl/>
        <w:jc w:val="left"/>
        <w:rPr>
          <w:rFonts w:ascii="宋体" w:hAnsi="宋体"/>
          <w:b/>
          <w:color w:val="auto"/>
          <w:szCs w:val="21"/>
        </w:rPr>
      </w:pPr>
    </w:p>
    <w:p>
      <w:pPr>
        <w:widowControl/>
        <w:jc w:val="left"/>
        <w:rPr>
          <w:rFonts w:ascii="宋体" w:hAnsi="宋体"/>
          <w:b/>
          <w:color w:val="auto"/>
          <w:szCs w:val="21"/>
        </w:rPr>
      </w:pPr>
    </w:p>
    <w:p>
      <w:pPr>
        <w:widowControl/>
        <w:jc w:val="center"/>
        <w:rPr>
          <w:rFonts w:ascii="宋体" w:hAnsi="宋体"/>
          <w:b/>
          <w:color w:val="auto"/>
          <w:szCs w:val="21"/>
        </w:rPr>
      </w:pPr>
      <w:r>
        <w:rPr>
          <w:rFonts w:hint="eastAsia" w:ascii="宋体" w:hAnsi="宋体"/>
          <w:b/>
          <w:color w:val="auto"/>
          <w:szCs w:val="21"/>
        </w:rPr>
        <w:t>第二部分</w:t>
      </w:r>
      <w:r>
        <w:rPr>
          <w:rFonts w:ascii="宋体" w:hAnsi="宋体"/>
          <w:b/>
          <w:color w:val="auto"/>
          <w:szCs w:val="21"/>
        </w:rPr>
        <w:t xml:space="preserve"> </w:t>
      </w:r>
      <w:r>
        <w:rPr>
          <w:rFonts w:hint="eastAsia" w:ascii="宋体" w:hAnsi="宋体"/>
          <w:b/>
          <w:color w:val="auto"/>
          <w:szCs w:val="21"/>
        </w:rPr>
        <w:t>合同一般条款</w:t>
      </w:r>
      <w:bookmarkEnd w:id="630"/>
    </w:p>
    <w:p>
      <w:pPr>
        <w:spacing w:line="360" w:lineRule="auto"/>
        <w:ind w:firstLine="437"/>
        <w:outlineLvl w:val="3"/>
        <w:rPr>
          <w:rFonts w:ascii="宋体" w:hAnsi="宋体"/>
          <w:b/>
          <w:bCs/>
          <w:color w:val="auto"/>
          <w:szCs w:val="21"/>
          <w:lang w:val="zh-CN"/>
        </w:rPr>
      </w:pPr>
      <w:bookmarkStart w:id="631" w:name="_Toc28763"/>
      <w:bookmarkStart w:id="632" w:name="_Ref467379214"/>
      <w:bookmarkStart w:id="633" w:name="_Ref467379101"/>
      <w:bookmarkStart w:id="634" w:name="_Ref467379195"/>
      <w:bookmarkStart w:id="635" w:name="_Ref467379225"/>
      <w:bookmarkStart w:id="636" w:name="_Ref467379094"/>
      <w:bookmarkStart w:id="637" w:name="_Toc487900349"/>
      <w:bookmarkStart w:id="638" w:name="_Toc16917"/>
      <w:bookmarkStart w:id="639" w:name="_Ref467378463"/>
      <w:bookmarkStart w:id="640" w:name="_Ref467379205"/>
      <w:bookmarkStart w:id="641" w:name="_Ref467378499"/>
      <w:bookmarkStart w:id="642" w:name="_Ref467379109"/>
      <w:bookmarkStart w:id="643" w:name="_Ref467378404"/>
      <w:bookmarkStart w:id="644" w:name="_Toc259093669"/>
      <w:bookmarkStart w:id="645" w:name="_Toc19614"/>
      <w:bookmarkStart w:id="646" w:name="_Toc279701240"/>
      <w:r>
        <w:rPr>
          <w:rFonts w:hint="eastAsia" w:ascii="宋体" w:hAnsi="宋体"/>
          <w:b/>
          <w:bCs/>
          <w:color w:val="auto"/>
          <w:szCs w:val="21"/>
          <w:lang w:val="zh-CN"/>
        </w:rPr>
        <w:t>2.1</w:t>
      </w:r>
      <w:r>
        <w:rPr>
          <w:rFonts w:ascii="宋体" w:hAnsi="宋体"/>
          <w:b/>
          <w:bCs/>
          <w:color w:val="auto"/>
          <w:szCs w:val="21"/>
          <w:lang w:val="zh-CN"/>
        </w:rPr>
        <w:t xml:space="preserve"> 定义</w:t>
      </w:r>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pPr>
        <w:spacing w:line="360" w:lineRule="auto"/>
        <w:ind w:firstLine="435"/>
        <w:rPr>
          <w:rFonts w:ascii="宋体" w:hAnsi="宋体"/>
          <w:color w:val="auto"/>
          <w:szCs w:val="21"/>
        </w:rPr>
      </w:pPr>
      <w:r>
        <w:rPr>
          <w:rFonts w:ascii="宋体" w:hAnsi="宋体"/>
          <w:color w:val="auto"/>
          <w:szCs w:val="21"/>
        </w:rPr>
        <w:t>本合同中的下列</w:t>
      </w:r>
      <w:r>
        <w:rPr>
          <w:rFonts w:hint="eastAsia" w:ascii="宋体" w:hAnsi="宋体"/>
          <w:color w:val="auto"/>
          <w:szCs w:val="21"/>
        </w:rPr>
        <w:t>词</w:t>
      </w:r>
      <w:r>
        <w:rPr>
          <w:rFonts w:ascii="宋体" w:hAnsi="宋体"/>
          <w:color w:val="auto"/>
          <w:szCs w:val="21"/>
        </w:rPr>
        <w:t>语应</w:t>
      </w:r>
      <w:r>
        <w:rPr>
          <w:rFonts w:hint="eastAsia" w:ascii="宋体" w:hAnsi="宋体"/>
          <w:color w:val="auto"/>
          <w:szCs w:val="21"/>
        </w:rPr>
        <w:t>按以下内容进行</w:t>
      </w:r>
      <w:r>
        <w:rPr>
          <w:rFonts w:ascii="宋体" w:hAnsi="宋体"/>
          <w:color w:val="auto"/>
          <w:szCs w:val="21"/>
        </w:rPr>
        <w:t>解释：</w:t>
      </w:r>
    </w:p>
    <w:p>
      <w:pPr>
        <w:spacing w:line="360" w:lineRule="auto"/>
        <w:ind w:firstLine="435"/>
        <w:rPr>
          <w:rFonts w:ascii="宋体" w:hAnsi="宋体"/>
          <w:color w:val="auto"/>
          <w:szCs w:val="21"/>
        </w:rPr>
      </w:pPr>
      <w:r>
        <w:rPr>
          <w:rFonts w:hint="eastAsia" w:ascii="宋体" w:hAnsi="宋体"/>
          <w:color w:val="auto"/>
          <w:szCs w:val="21"/>
        </w:rPr>
        <w:t>2</w:t>
      </w:r>
      <w:r>
        <w:rPr>
          <w:rFonts w:ascii="宋体" w:hAnsi="宋体"/>
          <w:color w:val="auto"/>
          <w:szCs w:val="21"/>
        </w:rPr>
        <w:t>.1</w:t>
      </w:r>
      <w:r>
        <w:rPr>
          <w:rFonts w:hint="eastAsia" w:ascii="宋体" w:hAnsi="宋体"/>
          <w:color w:val="auto"/>
          <w:szCs w:val="21"/>
        </w:rPr>
        <w:t>.1</w:t>
      </w:r>
      <w:r>
        <w:rPr>
          <w:rFonts w:ascii="宋体" w:hAnsi="宋体"/>
          <w:color w:val="auto"/>
          <w:szCs w:val="21"/>
        </w:rPr>
        <w:t>“合同”系指采购人和中标</w:t>
      </w:r>
      <w:r>
        <w:rPr>
          <w:rFonts w:hint="eastAsia" w:ascii="宋体" w:hAnsi="宋体"/>
          <w:color w:val="auto"/>
          <w:szCs w:val="21"/>
        </w:rPr>
        <w:t>人</w:t>
      </w:r>
      <w:r>
        <w:rPr>
          <w:rFonts w:ascii="宋体" w:hAnsi="宋体"/>
          <w:color w:val="auto"/>
          <w:szCs w:val="21"/>
        </w:rPr>
        <w:t>签订的载明双方当事人所达成的协议，并包括所有的附件、附录和构成合同的其他文件。</w:t>
      </w:r>
    </w:p>
    <w:p>
      <w:pPr>
        <w:spacing w:line="360" w:lineRule="auto"/>
        <w:ind w:firstLine="435"/>
        <w:rPr>
          <w:rFonts w:ascii="宋体" w:hAnsi="宋体"/>
          <w:color w:val="auto"/>
          <w:szCs w:val="21"/>
        </w:rPr>
      </w:pPr>
      <w:r>
        <w:rPr>
          <w:rFonts w:hint="eastAsia" w:ascii="宋体" w:hAnsi="宋体"/>
          <w:color w:val="auto"/>
          <w:szCs w:val="21"/>
        </w:rPr>
        <w:t>2.</w:t>
      </w:r>
      <w:r>
        <w:rPr>
          <w:rFonts w:ascii="宋体" w:hAnsi="宋体"/>
          <w:color w:val="auto"/>
          <w:szCs w:val="21"/>
        </w:rPr>
        <w:t>1.2“合同价”系指根据合同约定，中标</w:t>
      </w:r>
      <w:r>
        <w:rPr>
          <w:rFonts w:hint="eastAsia" w:ascii="宋体" w:hAnsi="宋体"/>
          <w:color w:val="auto"/>
          <w:szCs w:val="21"/>
        </w:rPr>
        <w:t>人</w:t>
      </w:r>
      <w:r>
        <w:rPr>
          <w:rFonts w:ascii="宋体" w:hAnsi="宋体"/>
          <w:color w:val="auto"/>
          <w:szCs w:val="21"/>
        </w:rPr>
        <w:t>在完全履行合同义务后</w:t>
      </w:r>
      <w:r>
        <w:rPr>
          <w:rFonts w:hint="eastAsia" w:ascii="宋体" w:hAnsi="宋体"/>
          <w:color w:val="auto"/>
          <w:szCs w:val="21"/>
        </w:rPr>
        <w:t>，</w:t>
      </w:r>
      <w:r>
        <w:rPr>
          <w:rFonts w:ascii="宋体" w:hAnsi="宋体"/>
          <w:color w:val="auto"/>
          <w:szCs w:val="21"/>
        </w:rPr>
        <w:t>采购人应支付给中标人的价格。</w:t>
      </w:r>
    </w:p>
    <w:p>
      <w:pPr>
        <w:spacing w:line="360" w:lineRule="auto"/>
        <w:ind w:firstLine="435"/>
        <w:rPr>
          <w:rFonts w:ascii="宋体" w:hAnsi="宋体"/>
          <w:color w:val="auto"/>
          <w:szCs w:val="21"/>
        </w:rPr>
      </w:pPr>
      <w:r>
        <w:rPr>
          <w:rFonts w:hint="eastAsia" w:ascii="宋体" w:hAnsi="宋体"/>
          <w:color w:val="auto"/>
          <w:szCs w:val="21"/>
        </w:rPr>
        <w:t>2.</w:t>
      </w:r>
      <w:r>
        <w:rPr>
          <w:rFonts w:ascii="宋体" w:hAnsi="宋体"/>
          <w:color w:val="auto"/>
          <w:szCs w:val="21"/>
        </w:rPr>
        <w:t>1.3“</w:t>
      </w:r>
      <w:r>
        <w:rPr>
          <w:rFonts w:hint="eastAsia" w:ascii="宋体" w:hAnsi="宋体"/>
          <w:color w:val="auto"/>
          <w:szCs w:val="21"/>
        </w:rPr>
        <w:t>服务</w:t>
      </w:r>
      <w:r>
        <w:rPr>
          <w:rFonts w:ascii="宋体" w:hAnsi="宋体"/>
          <w:color w:val="auto"/>
          <w:szCs w:val="21"/>
        </w:rPr>
        <w:t>”系指</w:t>
      </w:r>
      <w:r>
        <w:rPr>
          <w:rFonts w:hint="eastAsia" w:ascii="宋体" w:hAnsi="宋体"/>
          <w:color w:val="auto"/>
          <w:szCs w:val="21"/>
        </w:rPr>
        <w:t>中标人</w:t>
      </w:r>
      <w:r>
        <w:rPr>
          <w:rFonts w:ascii="宋体" w:hAnsi="宋体"/>
          <w:color w:val="auto"/>
          <w:szCs w:val="21"/>
        </w:rPr>
        <w:t>根据合同约定应向采购人</w:t>
      </w:r>
      <w:r>
        <w:rPr>
          <w:rFonts w:hint="eastAsia" w:ascii="宋体" w:hAnsi="宋体"/>
          <w:color w:val="auto"/>
          <w:szCs w:val="21"/>
        </w:rPr>
        <w:t>履行</w:t>
      </w:r>
      <w:r>
        <w:rPr>
          <w:rFonts w:ascii="宋体" w:hAnsi="宋体"/>
          <w:color w:val="auto"/>
          <w:szCs w:val="21"/>
        </w:rPr>
        <w:t>的</w:t>
      </w:r>
      <w:r>
        <w:rPr>
          <w:rFonts w:hint="eastAsia" w:ascii="宋体" w:hAnsi="宋体"/>
          <w:color w:val="auto"/>
          <w:szCs w:val="21"/>
        </w:rPr>
        <w:t>除货物和工程以外的其他政府采购对象，包括采购人自身需要的服务和向社会公众提供的公共服务。</w:t>
      </w:r>
    </w:p>
    <w:p>
      <w:pPr>
        <w:spacing w:line="360" w:lineRule="auto"/>
        <w:ind w:firstLine="435"/>
        <w:rPr>
          <w:rFonts w:ascii="宋体" w:hAnsi="宋体"/>
          <w:color w:val="auto"/>
          <w:szCs w:val="21"/>
        </w:rPr>
      </w:pPr>
      <w:bookmarkStart w:id="647" w:name="_Ref467378840"/>
      <w:r>
        <w:rPr>
          <w:rFonts w:hint="eastAsia" w:ascii="宋体" w:hAnsi="宋体"/>
          <w:color w:val="auto"/>
          <w:szCs w:val="21"/>
        </w:rPr>
        <w:t>2.</w:t>
      </w:r>
      <w:r>
        <w:rPr>
          <w:rFonts w:ascii="宋体" w:hAnsi="宋体"/>
          <w:color w:val="auto"/>
          <w:szCs w:val="21"/>
        </w:rPr>
        <w:t>1.</w:t>
      </w:r>
      <w:r>
        <w:rPr>
          <w:rFonts w:hint="eastAsia" w:ascii="宋体" w:hAnsi="宋体"/>
          <w:color w:val="auto"/>
          <w:szCs w:val="21"/>
        </w:rPr>
        <w:t>4</w:t>
      </w:r>
      <w:r>
        <w:rPr>
          <w:rFonts w:ascii="宋体" w:hAnsi="宋体"/>
          <w:color w:val="auto"/>
          <w:szCs w:val="21"/>
        </w:rPr>
        <w:t>“</w:t>
      </w:r>
      <w:r>
        <w:rPr>
          <w:rFonts w:hint="eastAsia" w:ascii="宋体" w:hAnsi="宋体"/>
          <w:color w:val="auto"/>
          <w:szCs w:val="21"/>
        </w:rPr>
        <w:t>甲方</w:t>
      </w:r>
      <w:r>
        <w:rPr>
          <w:rFonts w:ascii="宋体" w:hAnsi="宋体"/>
          <w:color w:val="auto"/>
          <w:szCs w:val="21"/>
        </w:rPr>
        <w:t>”系指与</w:t>
      </w:r>
      <w:r>
        <w:rPr>
          <w:rFonts w:hint="eastAsia" w:ascii="宋体" w:hAnsi="宋体"/>
          <w:color w:val="auto"/>
          <w:szCs w:val="21"/>
        </w:rPr>
        <w:t>中标人</w:t>
      </w:r>
      <w:r>
        <w:rPr>
          <w:rFonts w:ascii="宋体" w:hAnsi="宋体"/>
          <w:color w:val="auto"/>
          <w:szCs w:val="21"/>
        </w:rPr>
        <w:t>签署合同的采购人</w:t>
      </w:r>
      <w:bookmarkEnd w:id="647"/>
      <w:r>
        <w:rPr>
          <w:rFonts w:hint="eastAsia" w:ascii="宋体" w:hAnsi="宋体"/>
          <w:color w:val="auto"/>
          <w:szCs w:val="21"/>
        </w:rPr>
        <w:t>；采购人委托采购代理机构代表其与乙方签订合同的，采购人的授权委托书作为合同附件。</w:t>
      </w:r>
    </w:p>
    <w:p>
      <w:pPr>
        <w:spacing w:line="360" w:lineRule="auto"/>
        <w:ind w:firstLine="435"/>
        <w:rPr>
          <w:rFonts w:ascii="宋体" w:hAnsi="宋体"/>
          <w:color w:val="auto"/>
          <w:szCs w:val="21"/>
        </w:rPr>
      </w:pPr>
      <w:bookmarkStart w:id="648" w:name="_Ref467379400"/>
      <w:r>
        <w:rPr>
          <w:rFonts w:hint="eastAsia" w:ascii="宋体" w:hAnsi="宋体"/>
          <w:color w:val="auto"/>
          <w:szCs w:val="21"/>
        </w:rPr>
        <w:t>2.</w:t>
      </w:r>
      <w:r>
        <w:rPr>
          <w:rFonts w:ascii="宋体" w:hAnsi="宋体"/>
          <w:color w:val="auto"/>
          <w:szCs w:val="21"/>
        </w:rPr>
        <w:t>1.</w:t>
      </w:r>
      <w:r>
        <w:rPr>
          <w:rFonts w:hint="eastAsia" w:ascii="宋体" w:hAnsi="宋体"/>
          <w:color w:val="auto"/>
          <w:szCs w:val="21"/>
        </w:rPr>
        <w:t>5</w:t>
      </w:r>
      <w:r>
        <w:rPr>
          <w:rFonts w:ascii="宋体" w:hAnsi="宋体"/>
          <w:color w:val="auto"/>
          <w:szCs w:val="21"/>
        </w:rPr>
        <w:t>“乙方”系指根据合同约定</w:t>
      </w:r>
      <w:r>
        <w:rPr>
          <w:rFonts w:hint="eastAsia" w:ascii="宋体" w:hAnsi="宋体"/>
          <w:color w:val="auto"/>
          <w:szCs w:val="21"/>
        </w:rPr>
        <w:t>提供服务</w:t>
      </w:r>
      <w:r>
        <w:rPr>
          <w:rFonts w:ascii="宋体" w:hAnsi="宋体"/>
          <w:color w:val="auto"/>
          <w:szCs w:val="21"/>
        </w:rPr>
        <w:t>的中标人</w:t>
      </w:r>
      <w:bookmarkEnd w:id="648"/>
      <w:r>
        <w:rPr>
          <w:rFonts w:hint="eastAsia" w:ascii="宋体" w:hAnsi="宋体"/>
          <w:color w:val="auto"/>
          <w:szCs w:val="21"/>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35"/>
        <w:rPr>
          <w:rFonts w:ascii="宋体" w:hAnsi="宋体"/>
          <w:color w:val="auto"/>
          <w:szCs w:val="21"/>
        </w:rPr>
      </w:pPr>
      <w:bookmarkStart w:id="649" w:name="_Ref467379436"/>
      <w:r>
        <w:rPr>
          <w:rFonts w:hint="eastAsia" w:ascii="宋体" w:hAnsi="宋体"/>
          <w:color w:val="auto"/>
          <w:szCs w:val="21"/>
        </w:rPr>
        <w:t>2.</w:t>
      </w:r>
      <w:r>
        <w:rPr>
          <w:rFonts w:ascii="宋体" w:hAnsi="宋体"/>
          <w:color w:val="auto"/>
          <w:szCs w:val="21"/>
        </w:rPr>
        <w:t>1.</w:t>
      </w:r>
      <w:r>
        <w:rPr>
          <w:rFonts w:hint="eastAsia" w:ascii="宋体" w:hAnsi="宋体"/>
          <w:color w:val="auto"/>
          <w:szCs w:val="21"/>
        </w:rPr>
        <w:t>6</w:t>
      </w:r>
      <w:r>
        <w:rPr>
          <w:rFonts w:ascii="宋体" w:hAnsi="宋体"/>
          <w:color w:val="auto"/>
          <w:szCs w:val="21"/>
        </w:rPr>
        <w:t>“现场”系指合同约定</w:t>
      </w:r>
      <w:r>
        <w:rPr>
          <w:rFonts w:hint="eastAsia" w:ascii="宋体" w:hAnsi="宋体"/>
          <w:color w:val="auto"/>
          <w:szCs w:val="21"/>
        </w:rPr>
        <w:t>提供服务</w:t>
      </w:r>
      <w:r>
        <w:rPr>
          <w:rFonts w:ascii="宋体" w:hAnsi="宋体"/>
          <w:color w:val="auto"/>
          <w:szCs w:val="21"/>
        </w:rPr>
        <w:t>的地点。</w:t>
      </w:r>
      <w:bookmarkEnd w:id="649"/>
    </w:p>
    <w:p>
      <w:pPr>
        <w:spacing w:line="360" w:lineRule="auto"/>
        <w:ind w:firstLine="437"/>
        <w:outlineLvl w:val="3"/>
        <w:rPr>
          <w:rFonts w:ascii="宋体" w:hAnsi="宋体"/>
          <w:b/>
          <w:bCs/>
          <w:color w:val="auto"/>
          <w:szCs w:val="21"/>
          <w:lang w:val="zh-CN"/>
        </w:rPr>
      </w:pPr>
      <w:bookmarkStart w:id="650" w:name="_Toc487900350"/>
      <w:bookmarkStart w:id="651" w:name="_Toc27635"/>
      <w:bookmarkStart w:id="652" w:name="_Toc259093670"/>
      <w:bookmarkStart w:id="653" w:name="_Toc13336"/>
      <w:bookmarkStart w:id="654" w:name="_Toc32504"/>
      <w:bookmarkStart w:id="655" w:name="_Toc279701241"/>
      <w:r>
        <w:rPr>
          <w:rFonts w:hint="eastAsia" w:ascii="宋体" w:hAnsi="宋体"/>
          <w:b/>
          <w:bCs/>
          <w:color w:val="auto"/>
          <w:szCs w:val="21"/>
          <w:lang w:val="zh-CN"/>
        </w:rPr>
        <w:t>2.</w:t>
      </w:r>
      <w:r>
        <w:rPr>
          <w:rFonts w:ascii="宋体" w:hAnsi="宋体"/>
          <w:b/>
          <w:bCs/>
          <w:color w:val="auto"/>
          <w:szCs w:val="21"/>
          <w:lang w:val="zh-CN"/>
        </w:rPr>
        <w:t>2 技术规范</w:t>
      </w:r>
      <w:bookmarkEnd w:id="650"/>
      <w:bookmarkEnd w:id="651"/>
      <w:bookmarkEnd w:id="652"/>
      <w:bookmarkEnd w:id="653"/>
      <w:bookmarkEnd w:id="654"/>
      <w:bookmarkEnd w:id="655"/>
    </w:p>
    <w:p>
      <w:pPr>
        <w:spacing w:line="360" w:lineRule="auto"/>
        <w:ind w:firstLine="435"/>
        <w:rPr>
          <w:rFonts w:ascii="宋体" w:hAnsi="宋体"/>
          <w:color w:val="auto"/>
          <w:szCs w:val="21"/>
        </w:rPr>
      </w:pPr>
      <w:r>
        <w:rPr>
          <w:rFonts w:ascii="宋体" w:hAnsi="宋体"/>
          <w:color w:val="auto"/>
          <w:szCs w:val="21"/>
        </w:rPr>
        <w:t>货物所应遵守的技术规范应与采购文件规定的技术规范和技术规范附件(如果有的话)及其技术规范偏差表(如果被甲方接受的话)相一致</w:t>
      </w:r>
      <w:r>
        <w:rPr>
          <w:rFonts w:hint="eastAsia" w:ascii="宋体" w:hAnsi="宋体"/>
          <w:color w:val="auto"/>
          <w:szCs w:val="21"/>
        </w:rPr>
        <w:t>；</w:t>
      </w:r>
      <w:r>
        <w:rPr>
          <w:rFonts w:ascii="宋体" w:hAnsi="宋体"/>
          <w:color w:val="auto"/>
          <w:szCs w:val="21"/>
        </w:rPr>
        <w:t>如果采购文件中没有技术规范的相应说明，那么应以国家有关部门最新颁布的相应标准</w:t>
      </w:r>
      <w:r>
        <w:rPr>
          <w:rFonts w:hint="eastAsia" w:ascii="宋体" w:hAnsi="宋体"/>
          <w:color w:val="auto"/>
          <w:szCs w:val="21"/>
        </w:rPr>
        <w:t>和</w:t>
      </w:r>
      <w:r>
        <w:rPr>
          <w:rFonts w:ascii="宋体" w:hAnsi="宋体"/>
          <w:color w:val="auto"/>
          <w:szCs w:val="21"/>
        </w:rPr>
        <w:t>规范为准。</w:t>
      </w:r>
    </w:p>
    <w:p>
      <w:pPr>
        <w:spacing w:line="360" w:lineRule="auto"/>
        <w:ind w:firstLine="437"/>
        <w:outlineLvl w:val="3"/>
        <w:rPr>
          <w:rFonts w:ascii="宋体" w:hAnsi="宋体"/>
          <w:b/>
          <w:bCs/>
          <w:color w:val="auto"/>
          <w:szCs w:val="21"/>
          <w:lang w:val="zh-CN"/>
        </w:rPr>
      </w:pPr>
      <w:bookmarkStart w:id="656" w:name="_Toc487900351"/>
      <w:bookmarkStart w:id="657" w:name="_Toc279701242"/>
      <w:bookmarkStart w:id="658" w:name="_Toc31634"/>
      <w:bookmarkStart w:id="659" w:name="_Toc9829"/>
      <w:bookmarkStart w:id="660" w:name="_Toc259093671"/>
      <w:bookmarkStart w:id="661" w:name="_Toc27853"/>
      <w:r>
        <w:rPr>
          <w:rFonts w:hint="eastAsia" w:ascii="宋体" w:hAnsi="宋体"/>
          <w:b/>
          <w:bCs/>
          <w:color w:val="auto"/>
          <w:szCs w:val="21"/>
          <w:lang w:val="zh-CN"/>
        </w:rPr>
        <w:t>2.</w:t>
      </w:r>
      <w:r>
        <w:rPr>
          <w:rFonts w:ascii="宋体" w:hAnsi="宋体"/>
          <w:b/>
          <w:bCs/>
          <w:color w:val="auto"/>
          <w:szCs w:val="21"/>
          <w:lang w:val="zh-CN"/>
        </w:rPr>
        <w:t>3 知识产权</w:t>
      </w:r>
      <w:bookmarkEnd w:id="656"/>
      <w:bookmarkEnd w:id="657"/>
      <w:bookmarkEnd w:id="658"/>
      <w:bookmarkEnd w:id="659"/>
      <w:bookmarkEnd w:id="660"/>
      <w:bookmarkEnd w:id="661"/>
    </w:p>
    <w:p>
      <w:pPr>
        <w:spacing w:line="360" w:lineRule="auto"/>
        <w:ind w:firstLine="435"/>
        <w:rPr>
          <w:rFonts w:ascii="宋体" w:hAnsi="宋体"/>
          <w:color w:val="auto"/>
          <w:szCs w:val="21"/>
        </w:rPr>
      </w:pPr>
      <w:r>
        <w:rPr>
          <w:rFonts w:hint="eastAsia" w:ascii="宋体" w:hAnsi="宋体"/>
          <w:color w:val="auto"/>
          <w:szCs w:val="21"/>
        </w:rPr>
        <w:t>2.3.1乙</w:t>
      </w:r>
      <w:r>
        <w:rPr>
          <w:rFonts w:ascii="宋体" w:hAnsi="宋体"/>
          <w:color w:val="auto"/>
          <w:szCs w:val="21"/>
        </w:rPr>
        <w:t>方应保证</w:t>
      </w:r>
      <w:r>
        <w:rPr>
          <w:rFonts w:hint="eastAsia" w:ascii="宋体" w:hAnsi="宋体"/>
          <w:color w:val="auto"/>
          <w:szCs w:val="21"/>
        </w:rPr>
        <w:t>其提供的服务</w:t>
      </w:r>
      <w:r>
        <w:rPr>
          <w:rFonts w:ascii="宋体" w:hAnsi="宋体"/>
          <w:color w:val="auto"/>
          <w:szCs w:val="21"/>
        </w:rPr>
        <w:t>不受任何第三方提出的侵犯其著作权、商标权、专利权等知识产权方面的起诉</w:t>
      </w:r>
      <w:r>
        <w:rPr>
          <w:rFonts w:hint="eastAsia" w:ascii="宋体" w:hAnsi="宋体"/>
          <w:color w:val="auto"/>
          <w:szCs w:val="21"/>
        </w:rPr>
        <w:t>；</w:t>
      </w:r>
      <w:r>
        <w:rPr>
          <w:rFonts w:ascii="宋体" w:hAnsi="宋体"/>
          <w:color w:val="auto"/>
          <w:szCs w:val="21"/>
        </w:rPr>
        <w:t>如果任何第三方提出侵权</w:t>
      </w:r>
      <w:r>
        <w:rPr>
          <w:rFonts w:hint="eastAsia" w:ascii="宋体" w:hAnsi="宋体"/>
          <w:color w:val="auto"/>
          <w:szCs w:val="21"/>
        </w:rPr>
        <w:t>指控</w:t>
      </w:r>
      <w:r>
        <w:rPr>
          <w:rFonts w:ascii="宋体" w:hAnsi="宋体"/>
          <w:color w:val="auto"/>
          <w:szCs w:val="21"/>
        </w:rPr>
        <w:t>，那么乙方须与该第三方交涉并承担由此发生的一切责任、费用和赔偿</w:t>
      </w:r>
      <w:r>
        <w:rPr>
          <w:rFonts w:hint="eastAsia" w:ascii="宋体" w:hAnsi="宋体"/>
          <w:color w:val="auto"/>
          <w:szCs w:val="21"/>
        </w:rPr>
        <w:t>；</w:t>
      </w:r>
    </w:p>
    <w:p>
      <w:pPr>
        <w:spacing w:line="360" w:lineRule="auto"/>
        <w:ind w:firstLine="435"/>
        <w:rPr>
          <w:rFonts w:ascii="宋体" w:hAnsi="宋体"/>
          <w:color w:val="auto"/>
          <w:szCs w:val="21"/>
        </w:rPr>
      </w:pPr>
      <w:r>
        <w:rPr>
          <w:rFonts w:hint="eastAsia" w:ascii="宋体" w:hAnsi="宋体"/>
          <w:color w:val="auto"/>
          <w:szCs w:val="21"/>
        </w:rPr>
        <w:t>2.3.2具有知识产权的计算机软件等货物的知识产权归属，</w:t>
      </w:r>
      <w:r>
        <w:rPr>
          <w:rFonts w:ascii="宋体" w:hAnsi="宋体"/>
          <w:color w:val="auto"/>
          <w:szCs w:val="21"/>
        </w:rPr>
        <w:t>详见</w:t>
      </w:r>
      <w:r>
        <w:rPr>
          <w:rFonts w:ascii="宋体" w:hAnsi="宋体"/>
          <w:b/>
          <w:i/>
          <w:color w:val="auto"/>
          <w:szCs w:val="21"/>
          <w:u w:val="single"/>
        </w:rPr>
        <w:t>合同专用条款</w:t>
      </w:r>
      <w:r>
        <w:rPr>
          <w:rFonts w:ascii="宋体" w:hAnsi="宋体"/>
          <w:color w:val="auto"/>
          <w:szCs w:val="21"/>
        </w:rPr>
        <w:t>。</w:t>
      </w:r>
    </w:p>
    <w:p>
      <w:pPr>
        <w:spacing w:line="360" w:lineRule="auto"/>
        <w:ind w:firstLine="437"/>
        <w:outlineLvl w:val="3"/>
        <w:rPr>
          <w:rFonts w:ascii="宋体" w:hAnsi="宋体"/>
          <w:b/>
          <w:bCs/>
          <w:color w:val="auto"/>
          <w:szCs w:val="21"/>
          <w:lang w:val="zh-CN"/>
        </w:rPr>
      </w:pPr>
      <w:bookmarkStart w:id="662" w:name="_Ref467379542"/>
      <w:bookmarkStart w:id="663" w:name="_Toc279701245"/>
      <w:bookmarkStart w:id="664" w:name="_Toc487900354"/>
      <w:bookmarkStart w:id="665" w:name="_Ref467378591"/>
      <w:bookmarkStart w:id="666" w:name="_Ref467379527"/>
      <w:bookmarkStart w:id="667" w:name="_Ref467378541"/>
      <w:bookmarkStart w:id="668" w:name="_Toc259093674"/>
      <w:bookmarkStart w:id="669" w:name="_Ref467379536"/>
      <w:bookmarkStart w:id="670" w:name="_Toc26182"/>
      <w:bookmarkStart w:id="671" w:name="_Toc30272"/>
      <w:bookmarkStart w:id="672" w:name="_Toc19074"/>
      <w:r>
        <w:rPr>
          <w:rFonts w:hint="eastAsia" w:ascii="宋体" w:hAnsi="宋体"/>
          <w:b/>
          <w:bCs/>
          <w:color w:val="auto"/>
          <w:szCs w:val="21"/>
          <w:lang w:val="zh-CN"/>
        </w:rPr>
        <w:t>2.</w:t>
      </w:r>
      <w:bookmarkEnd w:id="662"/>
      <w:bookmarkEnd w:id="663"/>
      <w:bookmarkEnd w:id="664"/>
      <w:bookmarkEnd w:id="665"/>
      <w:bookmarkEnd w:id="666"/>
      <w:bookmarkEnd w:id="667"/>
      <w:bookmarkEnd w:id="668"/>
      <w:bookmarkEnd w:id="669"/>
      <w:r>
        <w:rPr>
          <w:rFonts w:ascii="宋体" w:hAnsi="宋体"/>
          <w:b/>
          <w:bCs/>
          <w:color w:val="auto"/>
          <w:szCs w:val="21"/>
          <w:lang w:val="zh-CN"/>
        </w:rPr>
        <w:t xml:space="preserve">4 </w:t>
      </w:r>
      <w:r>
        <w:rPr>
          <w:rFonts w:hint="eastAsia" w:ascii="宋体" w:hAnsi="宋体"/>
          <w:b/>
          <w:bCs/>
          <w:color w:val="auto"/>
          <w:szCs w:val="21"/>
          <w:lang w:val="zh-CN"/>
        </w:rPr>
        <w:t>履约检查和问题反馈</w:t>
      </w:r>
      <w:bookmarkEnd w:id="670"/>
      <w:bookmarkEnd w:id="671"/>
      <w:bookmarkEnd w:id="672"/>
    </w:p>
    <w:p>
      <w:pPr>
        <w:spacing w:line="360" w:lineRule="auto"/>
        <w:ind w:firstLine="435"/>
        <w:rPr>
          <w:rFonts w:ascii="宋体" w:hAnsi="宋体"/>
          <w:color w:val="auto"/>
          <w:szCs w:val="21"/>
        </w:rPr>
      </w:pPr>
      <w:bookmarkStart w:id="673" w:name="_Toc186431854"/>
      <w:bookmarkStart w:id="674" w:name="_Toc259093676"/>
      <w:bookmarkStart w:id="675" w:name="_Ref467379793"/>
      <w:bookmarkStart w:id="676" w:name="_Toc279701247"/>
      <w:bookmarkStart w:id="677" w:name="_Ref467379807"/>
      <w:bookmarkStart w:id="678" w:name="_Toc487900357"/>
      <w:r>
        <w:rPr>
          <w:rFonts w:hint="eastAsia" w:ascii="宋体" w:hAnsi="宋体"/>
          <w:color w:val="auto"/>
          <w:szCs w:val="21"/>
        </w:rPr>
        <w:t>2.4</w:t>
      </w:r>
      <w:r>
        <w:rPr>
          <w:rFonts w:ascii="宋体" w:hAnsi="宋体"/>
          <w:color w:val="auto"/>
          <w:szCs w:val="21"/>
        </w:rPr>
        <w:t>.1甲方</w:t>
      </w:r>
      <w:r>
        <w:rPr>
          <w:rFonts w:hint="eastAsia" w:ascii="宋体" w:hAnsi="宋体"/>
          <w:color w:val="auto"/>
          <w:szCs w:val="21"/>
        </w:rPr>
        <w:t>有权</w:t>
      </w:r>
      <w:r>
        <w:rPr>
          <w:rFonts w:ascii="宋体" w:hAnsi="宋体"/>
          <w:color w:val="auto"/>
          <w:szCs w:val="21"/>
        </w:rPr>
        <w:t>在其认为必要时</w:t>
      </w:r>
      <w:r>
        <w:rPr>
          <w:rFonts w:hint="eastAsia" w:ascii="宋体" w:hAnsi="宋体"/>
          <w:color w:val="auto"/>
          <w:szCs w:val="21"/>
        </w:rPr>
        <w:t>，对乙方是否能够按照合同约定提供服务进行履约检查，以确保乙方所提供的服务能够依约满足甲方项目需求，但不得因履约检查妨碍乙方的正常工作，乙方应予积极配合；</w:t>
      </w:r>
    </w:p>
    <w:p>
      <w:pPr>
        <w:spacing w:line="360" w:lineRule="auto"/>
        <w:ind w:firstLine="435"/>
        <w:rPr>
          <w:rFonts w:ascii="宋体" w:hAnsi="宋体"/>
          <w:color w:val="auto"/>
          <w:szCs w:val="21"/>
        </w:rPr>
      </w:pPr>
      <w:r>
        <w:rPr>
          <w:rFonts w:hint="eastAsia" w:ascii="宋体" w:hAnsi="宋体"/>
          <w:color w:val="auto"/>
          <w:szCs w:val="21"/>
        </w:rPr>
        <w:t>2.</w:t>
      </w:r>
      <w:r>
        <w:rPr>
          <w:rFonts w:ascii="宋体" w:hAnsi="宋体"/>
          <w:color w:val="auto"/>
          <w:szCs w:val="21"/>
        </w:rPr>
        <w:t>4</w:t>
      </w:r>
      <w:r>
        <w:rPr>
          <w:rFonts w:hint="eastAsia" w:ascii="宋体" w:hAnsi="宋体"/>
          <w:color w:val="auto"/>
          <w:szCs w:val="21"/>
        </w:rPr>
        <w:t>.2合同履行期间，甲方有权将履行过程中出现的问题反馈给乙方，双方当事人应以书面形式约定需要完善和改进的内容</w:t>
      </w:r>
      <w:bookmarkEnd w:id="673"/>
      <w:bookmarkStart w:id="679" w:name="_Toc186431855"/>
      <w:r>
        <w:rPr>
          <w:rFonts w:hint="eastAsia" w:ascii="宋体" w:hAnsi="宋体"/>
          <w:color w:val="auto"/>
          <w:szCs w:val="21"/>
        </w:rPr>
        <w:t>。</w:t>
      </w:r>
    </w:p>
    <w:bookmarkEnd w:id="679"/>
    <w:p>
      <w:pPr>
        <w:spacing w:line="360" w:lineRule="auto"/>
        <w:ind w:firstLine="437"/>
        <w:outlineLvl w:val="3"/>
        <w:rPr>
          <w:rFonts w:ascii="宋体" w:hAnsi="宋体"/>
          <w:b/>
          <w:bCs/>
          <w:color w:val="auto"/>
          <w:szCs w:val="21"/>
          <w:lang w:val="zh-CN"/>
        </w:rPr>
      </w:pPr>
      <w:bookmarkStart w:id="680" w:name="_Toc19219"/>
      <w:bookmarkStart w:id="681" w:name="_Toc7836"/>
      <w:bookmarkStart w:id="682" w:name="_Toc28451"/>
      <w:r>
        <w:rPr>
          <w:rFonts w:hint="eastAsia" w:ascii="宋体" w:hAnsi="宋体"/>
          <w:b/>
          <w:bCs/>
          <w:color w:val="auto"/>
          <w:szCs w:val="21"/>
          <w:lang w:val="zh-CN"/>
        </w:rPr>
        <w:t>2.</w:t>
      </w:r>
      <w:r>
        <w:rPr>
          <w:rFonts w:ascii="宋体" w:hAnsi="宋体"/>
          <w:b/>
          <w:bCs/>
          <w:color w:val="auto"/>
          <w:szCs w:val="21"/>
          <w:lang w:val="zh-CN"/>
        </w:rPr>
        <w:t>5</w:t>
      </w:r>
      <w:r>
        <w:rPr>
          <w:rFonts w:hint="eastAsia" w:ascii="宋体" w:hAnsi="宋体"/>
          <w:b/>
          <w:bCs/>
          <w:color w:val="auto"/>
          <w:szCs w:val="21"/>
          <w:lang w:val="zh-CN"/>
        </w:rPr>
        <w:t xml:space="preserve"> </w:t>
      </w:r>
      <w:r>
        <w:rPr>
          <w:rFonts w:ascii="宋体" w:hAnsi="宋体"/>
          <w:b/>
          <w:bCs/>
          <w:color w:val="auto"/>
          <w:szCs w:val="21"/>
          <w:lang w:val="zh-CN"/>
        </w:rPr>
        <w:t>结算方式和付款条件</w:t>
      </w:r>
      <w:bookmarkEnd w:id="674"/>
      <w:bookmarkEnd w:id="675"/>
      <w:bookmarkEnd w:id="676"/>
      <w:bookmarkEnd w:id="677"/>
      <w:bookmarkEnd w:id="678"/>
      <w:bookmarkEnd w:id="680"/>
      <w:bookmarkEnd w:id="681"/>
      <w:bookmarkEnd w:id="682"/>
    </w:p>
    <w:p>
      <w:pPr>
        <w:spacing w:line="360" w:lineRule="auto"/>
        <w:ind w:firstLine="435"/>
        <w:rPr>
          <w:rFonts w:ascii="宋体" w:hAnsi="宋体"/>
          <w:color w:val="auto"/>
          <w:szCs w:val="21"/>
        </w:rPr>
      </w:pPr>
      <w:r>
        <w:rPr>
          <w:rFonts w:ascii="宋体" w:hAnsi="宋体"/>
          <w:color w:val="auto"/>
          <w:szCs w:val="21"/>
        </w:rPr>
        <w:t>详见</w:t>
      </w:r>
      <w:r>
        <w:rPr>
          <w:rFonts w:ascii="宋体" w:hAnsi="宋体"/>
          <w:b/>
          <w:i/>
          <w:color w:val="auto"/>
          <w:szCs w:val="21"/>
          <w:u w:val="single"/>
        </w:rPr>
        <w:t>合同专用条款</w:t>
      </w:r>
      <w:r>
        <w:rPr>
          <w:rFonts w:ascii="宋体" w:hAnsi="宋体"/>
          <w:color w:val="auto"/>
          <w:szCs w:val="21"/>
        </w:rPr>
        <w:t>。</w:t>
      </w:r>
    </w:p>
    <w:p>
      <w:pPr>
        <w:spacing w:line="360" w:lineRule="auto"/>
        <w:ind w:firstLine="437"/>
        <w:outlineLvl w:val="3"/>
        <w:rPr>
          <w:rFonts w:ascii="宋体" w:hAnsi="宋体"/>
          <w:b/>
          <w:bCs/>
          <w:color w:val="auto"/>
          <w:szCs w:val="21"/>
          <w:lang w:val="zh-CN"/>
        </w:rPr>
      </w:pPr>
      <w:bookmarkStart w:id="683" w:name="_Ref467379852"/>
      <w:bookmarkStart w:id="684" w:name="_Toc259093677"/>
      <w:bookmarkStart w:id="685" w:name="_Ref467379863"/>
      <w:bookmarkStart w:id="686" w:name="_Toc279701248"/>
      <w:bookmarkStart w:id="687" w:name="_Toc487900358"/>
      <w:bookmarkStart w:id="688" w:name="_Ref467379923"/>
      <w:bookmarkStart w:id="689" w:name="_Toc3225"/>
      <w:bookmarkStart w:id="690" w:name="_Toc16110"/>
      <w:bookmarkStart w:id="691" w:name="_Toc774"/>
      <w:r>
        <w:rPr>
          <w:rFonts w:hint="eastAsia" w:ascii="宋体" w:hAnsi="宋体"/>
          <w:b/>
          <w:bCs/>
          <w:color w:val="auto"/>
          <w:szCs w:val="21"/>
          <w:lang w:val="zh-CN"/>
        </w:rPr>
        <w:t>2.</w:t>
      </w:r>
      <w:r>
        <w:rPr>
          <w:rFonts w:ascii="宋体" w:hAnsi="宋体"/>
          <w:b/>
          <w:bCs/>
          <w:color w:val="auto"/>
          <w:szCs w:val="21"/>
          <w:lang w:val="zh-CN"/>
        </w:rPr>
        <w:t>6</w:t>
      </w:r>
      <w:r>
        <w:rPr>
          <w:rFonts w:hint="eastAsia" w:ascii="宋体" w:hAnsi="宋体"/>
          <w:b/>
          <w:bCs/>
          <w:color w:val="auto"/>
          <w:szCs w:val="21"/>
          <w:lang w:val="zh-CN"/>
        </w:rPr>
        <w:t xml:space="preserve"> </w:t>
      </w:r>
      <w:r>
        <w:rPr>
          <w:rFonts w:ascii="宋体" w:hAnsi="宋体"/>
          <w:b/>
          <w:bCs/>
          <w:color w:val="auto"/>
          <w:szCs w:val="21"/>
          <w:lang w:val="zh-CN"/>
        </w:rPr>
        <w:t>技术资料</w:t>
      </w:r>
      <w:bookmarkEnd w:id="683"/>
      <w:bookmarkEnd w:id="684"/>
      <w:bookmarkEnd w:id="685"/>
      <w:bookmarkEnd w:id="686"/>
      <w:bookmarkEnd w:id="687"/>
      <w:bookmarkEnd w:id="688"/>
      <w:r>
        <w:rPr>
          <w:rFonts w:ascii="宋体" w:hAnsi="宋体"/>
          <w:b/>
          <w:bCs/>
          <w:color w:val="auto"/>
          <w:szCs w:val="21"/>
          <w:lang w:val="zh-CN"/>
        </w:rPr>
        <w:t>和保密义务</w:t>
      </w:r>
      <w:bookmarkEnd w:id="689"/>
      <w:bookmarkEnd w:id="690"/>
      <w:bookmarkEnd w:id="691"/>
    </w:p>
    <w:p>
      <w:pPr>
        <w:spacing w:line="360" w:lineRule="auto"/>
        <w:ind w:firstLine="435"/>
        <w:rPr>
          <w:rFonts w:ascii="宋体" w:hAnsi="宋体"/>
          <w:color w:val="auto"/>
          <w:szCs w:val="21"/>
        </w:rPr>
      </w:pPr>
      <w:r>
        <w:rPr>
          <w:rFonts w:hint="eastAsia" w:ascii="宋体" w:hAnsi="宋体"/>
          <w:color w:val="auto"/>
          <w:szCs w:val="21"/>
        </w:rPr>
        <w:t>2.</w:t>
      </w:r>
      <w:r>
        <w:rPr>
          <w:rFonts w:ascii="宋体" w:hAnsi="宋体"/>
          <w:color w:val="auto"/>
          <w:szCs w:val="21"/>
        </w:rPr>
        <w:t>6.1</w:t>
      </w:r>
      <w:r>
        <w:rPr>
          <w:rFonts w:hint="eastAsia" w:ascii="宋体" w:hAnsi="宋体"/>
          <w:color w:val="auto"/>
          <w:szCs w:val="21"/>
        </w:rPr>
        <w:t>乙方有权依据合同约定和项目需要，向甲方了解有关情况，调阅有关资料等，甲方应予积极配合；</w:t>
      </w:r>
    </w:p>
    <w:p>
      <w:pPr>
        <w:spacing w:line="360" w:lineRule="auto"/>
        <w:ind w:firstLine="435"/>
        <w:rPr>
          <w:rFonts w:ascii="宋体" w:hAnsi="宋体"/>
          <w:color w:val="auto"/>
          <w:szCs w:val="21"/>
        </w:rPr>
      </w:pPr>
      <w:r>
        <w:rPr>
          <w:rFonts w:hint="eastAsia" w:ascii="宋体" w:hAnsi="宋体"/>
          <w:color w:val="auto"/>
          <w:szCs w:val="21"/>
        </w:rPr>
        <w:t>2.</w:t>
      </w:r>
      <w:r>
        <w:rPr>
          <w:rFonts w:ascii="宋体" w:hAnsi="宋体"/>
          <w:color w:val="auto"/>
          <w:szCs w:val="21"/>
        </w:rPr>
        <w:t>6</w:t>
      </w:r>
      <w:r>
        <w:rPr>
          <w:rFonts w:hint="eastAsia" w:ascii="宋体" w:hAnsi="宋体"/>
          <w:color w:val="auto"/>
          <w:szCs w:val="21"/>
        </w:rPr>
        <w:t>.2乙方有义务妥善保管和保护由甲方提供的前款信息和资料等；</w:t>
      </w:r>
    </w:p>
    <w:p>
      <w:pPr>
        <w:spacing w:line="360" w:lineRule="auto"/>
        <w:ind w:firstLine="435"/>
        <w:rPr>
          <w:rFonts w:ascii="宋体" w:hAnsi="宋体"/>
          <w:color w:val="auto"/>
          <w:szCs w:val="21"/>
        </w:rPr>
      </w:pPr>
      <w:r>
        <w:rPr>
          <w:rFonts w:hint="eastAsia" w:ascii="宋体" w:hAnsi="宋体"/>
          <w:color w:val="auto"/>
          <w:szCs w:val="21"/>
        </w:rPr>
        <w:t>2.</w:t>
      </w:r>
      <w:r>
        <w:rPr>
          <w:rFonts w:ascii="宋体" w:hAnsi="宋体"/>
          <w:color w:val="auto"/>
          <w:szCs w:val="21"/>
        </w:rPr>
        <w:t>6.</w:t>
      </w:r>
      <w:r>
        <w:rPr>
          <w:rFonts w:hint="eastAsia" w:ascii="宋体" w:hAnsi="宋体"/>
          <w:color w:val="auto"/>
          <w:szCs w:val="21"/>
        </w:rPr>
        <w:t>3除非依照法律规定或者对方当事人的书面同意，任何一方均应保证不向任何第三方提供或披露有关合同的或者履行合同过程中知悉的对方当事人任何未公开的信息和资料，包括但不限于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Cs w:val="21"/>
        </w:rPr>
        <w:t>技术情报</w:t>
      </w:r>
      <w:r>
        <w:rPr>
          <w:rFonts w:hint="eastAsia" w:ascii="宋体" w:hAnsi="宋体"/>
          <w:color w:val="auto"/>
          <w:szCs w:val="21"/>
        </w:rPr>
        <w:t>、</w:t>
      </w:r>
      <w:r>
        <w:rPr>
          <w:rFonts w:ascii="宋体" w:hAnsi="宋体"/>
          <w:color w:val="auto"/>
          <w:szCs w:val="21"/>
        </w:rPr>
        <w:t>技术资料</w:t>
      </w:r>
      <w:r>
        <w:rPr>
          <w:rFonts w:hint="eastAsia" w:ascii="宋体" w:hAnsi="宋体"/>
          <w:color w:val="auto"/>
          <w:szCs w:val="21"/>
        </w:rPr>
        <w:t>、商业秘密和商业信息等，并采取一切合理和必要措施和方式防止任何第三方接触到对方当事人的上述保密信息和资料。</w:t>
      </w:r>
    </w:p>
    <w:p>
      <w:pPr>
        <w:spacing w:line="360" w:lineRule="auto"/>
        <w:ind w:firstLine="437"/>
        <w:outlineLvl w:val="3"/>
        <w:rPr>
          <w:rFonts w:ascii="宋体" w:hAnsi="宋体"/>
          <w:b/>
          <w:bCs/>
          <w:color w:val="auto"/>
          <w:szCs w:val="21"/>
          <w:lang w:val="zh-CN"/>
        </w:rPr>
      </w:pPr>
      <w:bookmarkStart w:id="692" w:name="_Toc7860"/>
      <w:r>
        <w:rPr>
          <w:rFonts w:ascii="宋体" w:hAnsi="宋体"/>
          <w:b/>
          <w:bCs/>
          <w:color w:val="auto"/>
          <w:szCs w:val="21"/>
          <w:lang w:val="zh-CN"/>
        </w:rPr>
        <w:t>2.7 质量保证</w:t>
      </w:r>
      <w:bookmarkEnd w:id="692"/>
    </w:p>
    <w:p>
      <w:pPr>
        <w:spacing w:line="360" w:lineRule="auto"/>
        <w:ind w:firstLine="435"/>
        <w:rPr>
          <w:rFonts w:ascii="宋体" w:hAnsi="宋体"/>
          <w:color w:val="auto"/>
          <w:szCs w:val="21"/>
        </w:rPr>
      </w:pPr>
      <w:r>
        <w:rPr>
          <w:rFonts w:hint="eastAsia" w:ascii="宋体" w:hAnsi="宋体"/>
          <w:color w:val="auto"/>
          <w:szCs w:val="21"/>
        </w:rPr>
        <w:t>2.</w:t>
      </w:r>
      <w:r>
        <w:rPr>
          <w:rFonts w:ascii="宋体" w:hAnsi="宋体"/>
          <w:color w:val="auto"/>
          <w:szCs w:val="21"/>
        </w:rPr>
        <w:t>7</w:t>
      </w:r>
      <w:r>
        <w:rPr>
          <w:rFonts w:hint="eastAsia" w:ascii="宋体" w:hAnsi="宋体"/>
          <w:color w:val="auto"/>
          <w:szCs w:val="21"/>
        </w:rPr>
        <w:t>.1乙方应建立和完善履行合同的内部质量保证体系，并提供相关内部规章制度给甲方，以便甲方进行监督检查；</w:t>
      </w:r>
    </w:p>
    <w:p>
      <w:pPr>
        <w:spacing w:line="360" w:lineRule="auto"/>
        <w:ind w:firstLine="435"/>
        <w:rPr>
          <w:rFonts w:ascii="宋体" w:hAnsi="宋体"/>
          <w:color w:val="auto"/>
          <w:szCs w:val="21"/>
        </w:rPr>
      </w:pPr>
      <w:r>
        <w:rPr>
          <w:rFonts w:hint="eastAsia" w:ascii="宋体" w:hAnsi="宋体"/>
          <w:color w:val="auto"/>
          <w:szCs w:val="21"/>
        </w:rPr>
        <w:t>2.</w:t>
      </w:r>
      <w:r>
        <w:rPr>
          <w:rFonts w:ascii="宋体" w:hAnsi="宋体"/>
          <w:color w:val="auto"/>
          <w:szCs w:val="21"/>
        </w:rPr>
        <w:t>7</w:t>
      </w:r>
      <w:r>
        <w:rPr>
          <w:rFonts w:hint="eastAsia" w:ascii="宋体" w:hAnsi="宋体"/>
          <w:color w:val="auto"/>
          <w:szCs w:val="21"/>
        </w:rPr>
        <w:t>.2乙方应保证履行合同的人员数量和素质、软件和硬件设备的配置、场地、环境和设施等满足全面履行合同的要求，并应接受甲方的监督检查。</w:t>
      </w:r>
    </w:p>
    <w:p>
      <w:pPr>
        <w:spacing w:line="360" w:lineRule="auto"/>
        <w:ind w:firstLine="437"/>
        <w:outlineLvl w:val="3"/>
        <w:rPr>
          <w:rFonts w:ascii="宋体" w:hAnsi="宋体"/>
          <w:b/>
          <w:color w:val="auto"/>
          <w:szCs w:val="21"/>
        </w:rPr>
      </w:pPr>
      <w:bookmarkStart w:id="693" w:name="_Toc22267"/>
      <w:r>
        <w:rPr>
          <w:rFonts w:hint="eastAsia" w:ascii="宋体" w:hAnsi="宋体"/>
          <w:b/>
          <w:color w:val="auto"/>
          <w:szCs w:val="21"/>
        </w:rPr>
        <w:t>2.8 延迟履行</w:t>
      </w:r>
      <w:bookmarkEnd w:id="693"/>
    </w:p>
    <w:p>
      <w:pPr>
        <w:spacing w:line="360" w:lineRule="auto"/>
        <w:ind w:firstLine="435"/>
        <w:rPr>
          <w:rFonts w:ascii="宋体" w:hAnsi="宋体"/>
          <w:color w:val="auto"/>
          <w:szCs w:val="21"/>
        </w:rPr>
      </w:pPr>
      <w:r>
        <w:rPr>
          <w:rFonts w:ascii="宋体" w:hAnsi="宋体"/>
          <w:color w:val="auto"/>
          <w:szCs w:val="21"/>
        </w:rPr>
        <w:t>在合同履行过程中，如果乙方遇到不能按时</w:t>
      </w:r>
      <w:r>
        <w:rPr>
          <w:rFonts w:hint="eastAsia" w:ascii="宋体" w:hAnsi="宋体"/>
          <w:color w:val="auto"/>
          <w:szCs w:val="21"/>
        </w:rPr>
        <w:t>提供服务</w:t>
      </w:r>
      <w:r>
        <w:rPr>
          <w:rFonts w:ascii="宋体" w:hAnsi="宋体"/>
          <w:color w:val="auto"/>
          <w:szCs w:val="21"/>
        </w:rPr>
        <w:t>的情况，应及时以书面形式将不能按时</w:t>
      </w:r>
      <w:r>
        <w:rPr>
          <w:rFonts w:hint="eastAsia" w:ascii="宋体" w:hAnsi="宋体"/>
          <w:color w:val="auto"/>
          <w:szCs w:val="21"/>
        </w:rPr>
        <w:t>提供服务</w:t>
      </w:r>
      <w:r>
        <w:rPr>
          <w:rFonts w:ascii="宋体" w:hAnsi="宋体"/>
          <w:color w:val="auto"/>
          <w:szCs w:val="21"/>
        </w:rPr>
        <w:t>的理由、预期延误时间通知甲方</w:t>
      </w:r>
      <w:r>
        <w:rPr>
          <w:rFonts w:hint="eastAsia" w:ascii="宋体" w:hAnsi="宋体"/>
          <w:color w:val="auto"/>
          <w:szCs w:val="21"/>
        </w:rPr>
        <w:t>；甲</w:t>
      </w:r>
      <w:r>
        <w:rPr>
          <w:rFonts w:ascii="宋体" w:hAnsi="宋体"/>
          <w:color w:val="auto"/>
          <w:szCs w:val="21"/>
        </w:rPr>
        <w:t>方收到乙方通知后，认为其理由正当的，可以书面形式酌情同意乙方可以延长</w:t>
      </w:r>
      <w:r>
        <w:rPr>
          <w:rFonts w:hint="eastAsia" w:ascii="宋体" w:hAnsi="宋体"/>
          <w:color w:val="auto"/>
          <w:szCs w:val="21"/>
        </w:rPr>
        <w:t>履行</w:t>
      </w:r>
      <w:r>
        <w:rPr>
          <w:rFonts w:ascii="宋体" w:hAnsi="宋体"/>
          <w:color w:val="auto"/>
          <w:szCs w:val="21"/>
        </w:rPr>
        <w:t>的具体时间。</w:t>
      </w:r>
    </w:p>
    <w:p>
      <w:pPr>
        <w:spacing w:line="360" w:lineRule="auto"/>
        <w:ind w:firstLine="437"/>
        <w:outlineLvl w:val="3"/>
        <w:rPr>
          <w:rFonts w:ascii="宋体" w:hAnsi="宋体"/>
          <w:b/>
          <w:bCs/>
          <w:color w:val="auto"/>
          <w:szCs w:val="21"/>
          <w:lang w:val="zh-CN"/>
        </w:rPr>
      </w:pPr>
      <w:bookmarkStart w:id="694" w:name="_Toc7502"/>
      <w:bookmarkStart w:id="695" w:name="_Toc487900364"/>
      <w:bookmarkStart w:id="696" w:name="_Toc279701254"/>
      <w:bookmarkStart w:id="697" w:name="_Ref467378121"/>
      <w:bookmarkStart w:id="698" w:name="_Toc259093683"/>
      <w:r>
        <w:rPr>
          <w:rFonts w:ascii="宋体" w:hAnsi="宋体"/>
          <w:b/>
          <w:bCs/>
          <w:color w:val="auto"/>
          <w:szCs w:val="21"/>
          <w:lang w:val="zh-CN"/>
        </w:rPr>
        <w:t>2.9 合同变更</w:t>
      </w:r>
      <w:bookmarkEnd w:id="694"/>
    </w:p>
    <w:p>
      <w:pPr>
        <w:spacing w:line="360" w:lineRule="auto"/>
        <w:ind w:firstLine="435"/>
        <w:rPr>
          <w:rFonts w:ascii="宋体" w:hAnsi="宋体"/>
          <w:color w:val="auto"/>
          <w:szCs w:val="21"/>
        </w:rPr>
      </w:pPr>
      <w:r>
        <w:rPr>
          <w:rFonts w:hint="eastAsia" w:ascii="宋体" w:hAnsi="宋体"/>
          <w:color w:val="auto"/>
          <w:szCs w:val="21"/>
        </w:rPr>
        <w:t>2.</w:t>
      </w:r>
      <w:r>
        <w:rPr>
          <w:rFonts w:ascii="宋体" w:hAnsi="宋体"/>
          <w:color w:val="auto"/>
          <w:szCs w:val="21"/>
        </w:rPr>
        <w:t>9</w:t>
      </w:r>
      <w:r>
        <w:rPr>
          <w:rFonts w:hint="eastAsia" w:ascii="宋体" w:hAnsi="宋体"/>
          <w:color w:val="auto"/>
          <w:szCs w:val="21"/>
        </w:rPr>
        <w:t>.1双方当事人协商一致，可以签订书面补充合同的形式变更合同，但不得违背采购文件确定的事项；</w:t>
      </w:r>
    </w:p>
    <w:p>
      <w:pPr>
        <w:spacing w:line="360" w:lineRule="auto"/>
        <w:ind w:firstLine="435"/>
        <w:rPr>
          <w:rFonts w:ascii="宋体" w:hAnsi="宋体"/>
          <w:color w:val="auto"/>
          <w:szCs w:val="21"/>
        </w:rPr>
      </w:pPr>
      <w:r>
        <w:rPr>
          <w:rFonts w:hint="eastAsia" w:ascii="宋体" w:hAnsi="宋体"/>
          <w:color w:val="auto"/>
          <w:szCs w:val="21"/>
        </w:rPr>
        <w:t>2.</w:t>
      </w:r>
      <w:r>
        <w:rPr>
          <w:rFonts w:ascii="宋体" w:hAnsi="宋体"/>
          <w:color w:val="auto"/>
          <w:szCs w:val="21"/>
        </w:rPr>
        <w:t>9</w:t>
      </w:r>
      <w:r>
        <w:rPr>
          <w:rFonts w:hint="eastAsia" w:ascii="宋体" w:hAnsi="宋体"/>
          <w:color w:val="auto"/>
          <w:szCs w:val="21"/>
        </w:rPr>
        <w:t>.2合同继续履行将损害国家利益和社会公共利益的，双方当事人应当以书面形式变更合同。有过错的一方应当承担赔偿责任，双方当事人都有过错的，各自承担相应的责任。</w:t>
      </w:r>
      <w:bookmarkStart w:id="699" w:name="_Toc487900369"/>
      <w:bookmarkStart w:id="700" w:name="_Toc279701259"/>
      <w:bookmarkStart w:id="701" w:name="_Toc259093688"/>
    </w:p>
    <w:p>
      <w:pPr>
        <w:spacing w:line="360" w:lineRule="auto"/>
        <w:ind w:firstLine="437"/>
        <w:outlineLvl w:val="3"/>
        <w:rPr>
          <w:rFonts w:ascii="宋体" w:hAnsi="宋体"/>
          <w:b/>
          <w:bCs/>
          <w:color w:val="auto"/>
          <w:szCs w:val="21"/>
          <w:lang w:val="zh-CN"/>
        </w:rPr>
      </w:pPr>
      <w:bookmarkStart w:id="702" w:name="_Toc15237"/>
      <w:bookmarkStart w:id="703" w:name="_Toc10366"/>
      <w:bookmarkStart w:id="704" w:name="_Toc22955"/>
      <w:r>
        <w:rPr>
          <w:rFonts w:hint="eastAsia" w:ascii="宋体" w:hAnsi="宋体"/>
          <w:b/>
          <w:bCs/>
          <w:color w:val="auto"/>
          <w:szCs w:val="21"/>
          <w:lang w:val="zh-CN"/>
        </w:rPr>
        <w:t>2.1</w:t>
      </w:r>
      <w:r>
        <w:rPr>
          <w:rFonts w:ascii="宋体" w:hAnsi="宋体"/>
          <w:b/>
          <w:bCs/>
          <w:color w:val="auto"/>
          <w:szCs w:val="21"/>
          <w:lang w:val="zh-CN"/>
        </w:rPr>
        <w:t>0</w:t>
      </w:r>
      <w:r>
        <w:rPr>
          <w:rFonts w:hint="eastAsia" w:ascii="宋体" w:hAnsi="宋体"/>
          <w:b/>
          <w:bCs/>
          <w:color w:val="auto"/>
          <w:szCs w:val="21"/>
          <w:lang w:val="zh-CN"/>
        </w:rPr>
        <w:t xml:space="preserve"> </w:t>
      </w:r>
      <w:r>
        <w:rPr>
          <w:rFonts w:ascii="宋体" w:hAnsi="宋体"/>
          <w:b/>
          <w:bCs/>
          <w:color w:val="auto"/>
          <w:szCs w:val="21"/>
          <w:lang w:val="zh-CN"/>
        </w:rPr>
        <w:t>合同转让</w:t>
      </w:r>
      <w:bookmarkEnd w:id="699"/>
      <w:bookmarkEnd w:id="700"/>
      <w:bookmarkEnd w:id="701"/>
      <w:r>
        <w:rPr>
          <w:rFonts w:ascii="宋体" w:hAnsi="宋体"/>
          <w:b/>
          <w:bCs/>
          <w:color w:val="auto"/>
          <w:szCs w:val="21"/>
          <w:lang w:val="zh-CN"/>
        </w:rPr>
        <w:t>和分包</w:t>
      </w:r>
      <w:bookmarkEnd w:id="702"/>
      <w:bookmarkEnd w:id="703"/>
      <w:bookmarkEnd w:id="704"/>
    </w:p>
    <w:p>
      <w:pPr>
        <w:spacing w:line="360" w:lineRule="auto"/>
        <w:ind w:firstLine="435"/>
        <w:rPr>
          <w:rFonts w:ascii="宋体" w:hAnsi="宋体"/>
          <w:color w:val="auto"/>
          <w:szCs w:val="21"/>
        </w:rPr>
      </w:pPr>
      <w:r>
        <w:rPr>
          <w:rFonts w:ascii="宋体" w:hAnsi="宋体"/>
          <w:color w:val="auto"/>
          <w:szCs w:val="21"/>
        </w:rPr>
        <w:t>合同的权利义务依法不</w:t>
      </w:r>
      <w:r>
        <w:rPr>
          <w:rFonts w:hint="eastAsia" w:ascii="宋体" w:hAnsi="宋体"/>
          <w:color w:val="auto"/>
          <w:szCs w:val="21"/>
        </w:rPr>
        <w:t>得</w:t>
      </w:r>
      <w:r>
        <w:rPr>
          <w:rFonts w:ascii="宋体" w:hAnsi="宋体"/>
          <w:color w:val="auto"/>
          <w:szCs w:val="21"/>
        </w:rPr>
        <w:t>转让</w:t>
      </w:r>
      <w:r>
        <w:rPr>
          <w:rFonts w:hint="eastAsia" w:ascii="宋体" w:hAnsi="宋体"/>
          <w:color w:val="auto"/>
          <w:szCs w:val="21"/>
        </w:rPr>
        <w:t>，</w:t>
      </w:r>
      <w:r>
        <w:rPr>
          <w:rFonts w:ascii="宋体" w:hAnsi="宋体"/>
          <w:color w:val="auto"/>
          <w:szCs w:val="21"/>
        </w:rPr>
        <w:t>但经甲方</w:t>
      </w:r>
      <w:r>
        <w:rPr>
          <w:rFonts w:hint="eastAsia" w:ascii="宋体" w:hAnsi="宋体"/>
          <w:color w:val="auto"/>
          <w:szCs w:val="21"/>
        </w:rPr>
        <w:t>同意，乙方可以依法采取分包方式履行合同，即：依法可以</w:t>
      </w:r>
      <w:r>
        <w:rPr>
          <w:rFonts w:ascii="宋体" w:hAnsi="宋体"/>
          <w:color w:val="auto"/>
          <w:szCs w:val="21"/>
        </w:rPr>
        <w:t>将合同项下的部分非主体、非关键性工作分包给他人完成</w:t>
      </w:r>
      <w:r>
        <w:rPr>
          <w:rFonts w:hint="eastAsia" w:ascii="宋体" w:hAnsi="宋体"/>
          <w:color w:val="auto"/>
          <w:szCs w:val="21"/>
        </w:rPr>
        <w:t>，</w:t>
      </w:r>
      <w:r>
        <w:rPr>
          <w:rFonts w:ascii="宋体" w:hAnsi="宋体"/>
          <w:color w:val="auto"/>
          <w:szCs w:val="21"/>
        </w:rPr>
        <w:t>接受分包的人应当具备相应的资格条件，并不得再次分包</w:t>
      </w:r>
      <w:r>
        <w:rPr>
          <w:rFonts w:hint="eastAsia" w:ascii="宋体" w:hAnsi="宋体"/>
          <w:color w:val="auto"/>
          <w:szCs w:val="21"/>
        </w:rPr>
        <w:t>，</w:t>
      </w:r>
      <w:r>
        <w:rPr>
          <w:rFonts w:ascii="宋体" w:hAnsi="宋体"/>
          <w:color w:val="auto"/>
          <w:szCs w:val="21"/>
        </w:rPr>
        <w:t>且乙方应就分包项目向甲方负责</w:t>
      </w:r>
      <w:r>
        <w:rPr>
          <w:rFonts w:hint="eastAsia" w:ascii="宋体" w:hAnsi="宋体"/>
          <w:color w:val="auto"/>
          <w:szCs w:val="21"/>
        </w:rPr>
        <w:t>，</w:t>
      </w:r>
      <w:r>
        <w:rPr>
          <w:rFonts w:ascii="宋体" w:hAnsi="宋体"/>
          <w:color w:val="auto"/>
          <w:szCs w:val="21"/>
        </w:rPr>
        <w:t>并</w:t>
      </w:r>
      <w:r>
        <w:rPr>
          <w:rFonts w:hint="eastAsia" w:ascii="宋体" w:hAnsi="宋体"/>
          <w:color w:val="auto"/>
          <w:szCs w:val="21"/>
        </w:rPr>
        <w:t>与分包供应商就分包项目向甲方承担连带责任。</w:t>
      </w:r>
    </w:p>
    <w:p>
      <w:pPr>
        <w:spacing w:line="360" w:lineRule="auto"/>
        <w:ind w:firstLine="437"/>
        <w:outlineLvl w:val="3"/>
        <w:rPr>
          <w:rFonts w:ascii="宋体" w:hAnsi="宋体"/>
          <w:b/>
          <w:bCs/>
          <w:color w:val="auto"/>
          <w:szCs w:val="21"/>
          <w:lang w:val="zh-CN"/>
        </w:rPr>
      </w:pPr>
      <w:bookmarkStart w:id="705" w:name="_Toc14066"/>
      <w:bookmarkStart w:id="706" w:name="_Toc13566"/>
      <w:bookmarkStart w:id="707" w:name="_Toc16508"/>
      <w:r>
        <w:rPr>
          <w:rFonts w:hint="eastAsia" w:ascii="宋体" w:hAnsi="宋体"/>
          <w:b/>
          <w:bCs/>
          <w:color w:val="auto"/>
          <w:szCs w:val="21"/>
          <w:lang w:val="zh-CN"/>
        </w:rPr>
        <w:t>2.1</w:t>
      </w:r>
      <w:r>
        <w:rPr>
          <w:rFonts w:ascii="宋体" w:hAnsi="宋体"/>
          <w:b/>
          <w:bCs/>
          <w:color w:val="auto"/>
          <w:szCs w:val="21"/>
          <w:lang w:val="zh-CN"/>
        </w:rPr>
        <w:t>1 不可抗力</w:t>
      </w:r>
      <w:bookmarkEnd w:id="705"/>
      <w:bookmarkEnd w:id="706"/>
      <w:bookmarkEnd w:id="707"/>
    </w:p>
    <w:p>
      <w:pPr>
        <w:spacing w:line="360" w:lineRule="auto"/>
        <w:ind w:firstLine="435"/>
        <w:rPr>
          <w:rFonts w:ascii="宋体" w:hAnsi="宋体"/>
          <w:color w:val="auto"/>
          <w:szCs w:val="21"/>
        </w:rPr>
      </w:pPr>
      <w:r>
        <w:rPr>
          <w:rFonts w:hint="eastAsia" w:ascii="宋体" w:hAnsi="宋体"/>
          <w:color w:val="auto"/>
          <w:szCs w:val="21"/>
        </w:rPr>
        <w:t>2.1</w:t>
      </w:r>
      <w:r>
        <w:rPr>
          <w:rFonts w:ascii="宋体" w:hAnsi="宋体"/>
          <w:color w:val="auto"/>
          <w:szCs w:val="21"/>
        </w:rPr>
        <w:t>1.1如果任何一方遭遇法律规定的不可抗力，致使合同履行受阻时，履行合同的期限应予延长，延长的期限应相当于不可抗力所影响的时间</w:t>
      </w:r>
      <w:r>
        <w:rPr>
          <w:rFonts w:hint="eastAsia" w:ascii="宋体" w:hAnsi="宋体"/>
          <w:color w:val="auto"/>
          <w:szCs w:val="21"/>
        </w:rPr>
        <w:t>；</w:t>
      </w:r>
    </w:p>
    <w:p>
      <w:pPr>
        <w:spacing w:line="360" w:lineRule="auto"/>
        <w:ind w:firstLine="435"/>
        <w:rPr>
          <w:rFonts w:ascii="宋体" w:hAnsi="宋体"/>
          <w:color w:val="auto"/>
          <w:szCs w:val="21"/>
        </w:rPr>
      </w:pPr>
      <w:r>
        <w:rPr>
          <w:rFonts w:hint="eastAsia" w:ascii="宋体" w:hAnsi="宋体"/>
          <w:color w:val="auto"/>
          <w:szCs w:val="21"/>
        </w:rPr>
        <w:t>2.1</w:t>
      </w:r>
      <w:r>
        <w:rPr>
          <w:rFonts w:ascii="宋体" w:hAnsi="宋体"/>
          <w:color w:val="auto"/>
          <w:szCs w:val="21"/>
        </w:rPr>
        <w:t>1</w:t>
      </w:r>
      <w:r>
        <w:rPr>
          <w:rFonts w:hint="eastAsia" w:ascii="宋体" w:hAnsi="宋体"/>
          <w:color w:val="auto"/>
          <w:szCs w:val="21"/>
        </w:rPr>
        <w:t>.2因不可抗力致使不能实现合同目的的，当事人可以解除合同；</w:t>
      </w:r>
    </w:p>
    <w:p>
      <w:pPr>
        <w:spacing w:line="360" w:lineRule="auto"/>
        <w:ind w:firstLine="435"/>
        <w:rPr>
          <w:rFonts w:ascii="宋体" w:hAnsi="宋体"/>
          <w:color w:val="auto"/>
          <w:szCs w:val="21"/>
        </w:rPr>
      </w:pPr>
      <w:r>
        <w:rPr>
          <w:rFonts w:hint="eastAsia" w:ascii="宋体" w:hAnsi="宋体"/>
          <w:color w:val="auto"/>
          <w:szCs w:val="21"/>
        </w:rPr>
        <w:t>2.1</w:t>
      </w:r>
      <w:r>
        <w:rPr>
          <w:rFonts w:ascii="宋体" w:hAnsi="宋体"/>
          <w:color w:val="auto"/>
          <w:szCs w:val="21"/>
        </w:rPr>
        <w:t>1</w:t>
      </w:r>
      <w:r>
        <w:rPr>
          <w:rFonts w:hint="eastAsia" w:ascii="宋体" w:hAnsi="宋体"/>
          <w:color w:val="auto"/>
          <w:szCs w:val="21"/>
        </w:rPr>
        <w:t>.3因</w:t>
      </w:r>
      <w:r>
        <w:rPr>
          <w:rFonts w:ascii="宋体" w:hAnsi="宋体"/>
          <w:color w:val="auto"/>
          <w:szCs w:val="21"/>
        </w:rPr>
        <w:t>不可抗力致使合同有变更必要的，双方当事人应在</w:t>
      </w:r>
      <w:r>
        <w:rPr>
          <w:rFonts w:ascii="宋体" w:hAnsi="宋体"/>
          <w:b/>
          <w:i/>
          <w:color w:val="auto"/>
          <w:szCs w:val="21"/>
          <w:u w:val="single"/>
        </w:rPr>
        <w:t>合同专用条款</w:t>
      </w:r>
      <w:r>
        <w:rPr>
          <w:rFonts w:ascii="宋体" w:hAnsi="宋体"/>
          <w:color w:val="auto"/>
          <w:szCs w:val="21"/>
        </w:rPr>
        <w:t>约定时间内以书面形式变更合同</w:t>
      </w:r>
      <w:r>
        <w:rPr>
          <w:rFonts w:hint="eastAsia" w:ascii="宋体" w:hAnsi="宋体"/>
          <w:color w:val="auto"/>
          <w:szCs w:val="21"/>
        </w:rPr>
        <w:t>；</w:t>
      </w:r>
    </w:p>
    <w:p>
      <w:pPr>
        <w:spacing w:line="360" w:lineRule="auto"/>
        <w:ind w:firstLine="435"/>
        <w:rPr>
          <w:rFonts w:ascii="宋体" w:hAnsi="宋体"/>
          <w:color w:val="auto"/>
          <w:szCs w:val="21"/>
        </w:rPr>
      </w:pPr>
      <w:r>
        <w:rPr>
          <w:rFonts w:hint="eastAsia" w:ascii="宋体" w:hAnsi="宋体"/>
          <w:color w:val="auto"/>
          <w:szCs w:val="21"/>
        </w:rPr>
        <w:t>2.1</w:t>
      </w:r>
      <w:r>
        <w:rPr>
          <w:rFonts w:ascii="宋体" w:hAnsi="宋体"/>
          <w:color w:val="auto"/>
          <w:szCs w:val="21"/>
        </w:rPr>
        <w:t>1.</w:t>
      </w:r>
      <w:r>
        <w:rPr>
          <w:rFonts w:hint="eastAsia" w:ascii="宋体" w:hAnsi="宋体"/>
          <w:color w:val="auto"/>
          <w:szCs w:val="21"/>
        </w:rPr>
        <w:t>4</w:t>
      </w:r>
      <w:r>
        <w:rPr>
          <w:rFonts w:ascii="宋体" w:hAnsi="宋体"/>
          <w:color w:val="auto"/>
          <w:szCs w:val="21"/>
        </w:rPr>
        <w:t>受</w:t>
      </w:r>
      <w:r>
        <w:rPr>
          <w:rFonts w:hint="eastAsia" w:ascii="宋体" w:hAnsi="宋体"/>
          <w:color w:val="auto"/>
          <w:szCs w:val="21"/>
        </w:rPr>
        <w:t>不可抗力</w:t>
      </w:r>
      <w:r>
        <w:rPr>
          <w:rFonts w:ascii="宋体" w:hAnsi="宋体"/>
          <w:color w:val="auto"/>
          <w:szCs w:val="21"/>
        </w:rPr>
        <w:t>影响的一方在不可抗力发生后</w:t>
      </w:r>
      <w:r>
        <w:rPr>
          <w:rFonts w:hint="eastAsia" w:ascii="宋体" w:hAnsi="宋体"/>
          <w:color w:val="auto"/>
          <w:szCs w:val="21"/>
        </w:rPr>
        <w:t>，</w:t>
      </w:r>
      <w:r>
        <w:rPr>
          <w:rFonts w:ascii="宋体" w:hAnsi="宋体"/>
          <w:color w:val="auto"/>
          <w:szCs w:val="21"/>
        </w:rPr>
        <w:t>应在</w:t>
      </w:r>
      <w:r>
        <w:rPr>
          <w:rFonts w:ascii="宋体" w:hAnsi="宋体"/>
          <w:b/>
          <w:i/>
          <w:color w:val="auto"/>
          <w:szCs w:val="21"/>
          <w:u w:val="single"/>
        </w:rPr>
        <w:t>合同专用条款</w:t>
      </w:r>
      <w:r>
        <w:rPr>
          <w:rFonts w:ascii="宋体" w:hAnsi="宋体"/>
          <w:color w:val="auto"/>
          <w:szCs w:val="21"/>
        </w:rPr>
        <w:t>约定时间内以书面形式通知</w:t>
      </w:r>
      <w:r>
        <w:rPr>
          <w:rFonts w:hint="eastAsia" w:ascii="宋体" w:hAnsi="宋体"/>
          <w:color w:val="auto"/>
          <w:szCs w:val="21"/>
        </w:rPr>
        <w:t>对</w:t>
      </w:r>
      <w:r>
        <w:rPr>
          <w:rFonts w:ascii="宋体" w:hAnsi="宋体"/>
          <w:color w:val="auto"/>
          <w:szCs w:val="21"/>
        </w:rPr>
        <w:t>方当事人，并在</w:t>
      </w:r>
      <w:r>
        <w:rPr>
          <w:rFonts w:ascii="宋体" w:hAnsi="宋体"/>
          <w:b/>
          <w:i/>
          <w:color w:val="auto"/>
          <w:szCs w:val="21"/>
          <w:u w:val="single"/>
        </w:rPr>
        <w:t>合同专用条款</w:t>
      </w:r>
      <w:r>
        <w:rPr>
          <w:rFonts w:ascii="宋体" w:hAnsi="宋体"/>
          <w:color w:val="auto"/>
          <w:szCs w:val="21"/>
        </w:rPr>
        <w:t>约定时间内，将有关部门出具的证明文件送达</w:t>
      </w:r>
      <w:r>
        <w:rPr>
          <w:rFonts w:hint="eastAsia" w:ascii="宋体" w:hAnsi="宋体"/>
          <w:color w:val="auto"/>
          <w:szCs w:val="21"/>
        </w:rPr>
        <w:t>对方当事人</w:t>
      </w:r>
      <w:r>
        <w:rPr>
          <w:rFonts w:ascii="宋体" w:hAnsi="宋体"/>
          <w:color w:val="auto"/>
          <w:szCs w:val="21"/>
        </w:rPr>
        <w:t>。</w:t>
      </w:r>
    </w:p>
    <w:p>
      <w:pPr>
        <w:spacing w:line="360" w:lineRule="auto"/>
        <w:ind w:firstLine="437"/>
        <w:outlineLvl w:val="3"/>
        <w:rPr>
          <w:rFonts w:ascii="宋体" w:hAnsi="宋体"/>
          <w:b/>
          <w:bCs/>
          <w:color w:val="auto"/>
          <w:szCs w:val="21"/>
          <w:lang w:val="zh-CN"/>
        </w:rPr>
      </w:pPr>
      <w:bookmarkStart w:id="708" w:name="_Toc259093684"/>
      <w:bookmarkStart w:id="709" w:name="_Toc689"/>
      <w:bookmarkStart w:id="710" w:name="_Toc30676"/>
      <w:bookmarkStart w:id="711" w:name="_Toc279701255"/>
      <w:bookmarkStart w:id="712" w:name="_Toc6969"/>
      <w:bookmarkStart w:id="713" w:name="_Toc487900365"/>
      <w:r>
        <w:rPr>
          <w:rFonts w:hint="eastAsia" w:ascii="宋体" w:hAnsi="宋体"/>
          <w:b/>
          <w:bCs/>
          <w:color w:val="auto"/>
          <w:szCs w:val="21"/>
          <w:lang w:val="zh-CN"/>
        </w:rPr>
        <w:t>2.</w:t>
      </w:r>
      <w:r>
        <w:rPr>
          <w:rFonts w:ascii="宋体" w:hAnsi="宋体"/>
          <w:b/>
          <w:bCs/>
          <w:color w:val="auto"/>
          <w:szCs w:val="21"/>
          <w:lang w:val="zh-CN"/>
        </w:rPr>
        <w:t>12</w:t>
      </w:r>
      <w:r>
        <w:rPr>
          <w:rFonts w:hint="eastAsia" w:ascii="宋体" w:hAnsi="宋体"/>
          <w:b/>
          <w:bCs/>
          <w:color w:val="auto"/>
          <w:szCs w:val="21"/>
          <w:lang w:val="zh-CN"/>
        </w:rPr>
        <w:t xml:space="preserve"> </w:t>
      </w:r>
      <w:r>
        <w:rPr>
          <w:rFonts w:ascii="宋体" w:hAnsi="宋体"/>
          <w:b/>
          <w:bCs/>
          <w:color w:val="auto"/>
          <w:szCs w:val="21"/>
          <w:lang w:val="zh-CN"/>
        </w:rPr>
        <w:t>税费</w:t>
      </w:r>
      <w:bookmarkEnd w:id="708"/>
      <w:bookmarkEnd w:id="709"/>
      <w:bookmarkEnd w:id="710"/>
      <w:bookmarkEnd w:id="711"/>
      <w:bookmarkEnd w:id="712"/>
      <w:bookmarkEnd w:id="713"/>
    </w:p>
    <w:p>
      <w:pPr>
        <w:spacing w:line="360" w:lineRule="auto"/>
        <w:ind w:firstLine="435"/>
        <w:rPr>
          <w:rFonts w:ascii="宋体" w:hAnsi="宋体"/>
          <w:color w:val="auto"/>
          <w:szCs w:val="21"/>
        </w:rPr>
      </w:pPr>
      <w:r>
        <w:rPr>
          <w:rFonts w:ascii="宋体" w:hAnsi="宋体"/>
          <w:color w:val="auto"/>
          <w:szCs w:val="21"/>
        </w:rPr>
        <w:t>与合同有关的一切税费</w:t>
      </w:r>
      <w:r>
        <w:rPr>
          <w:rFonts w:hint="eastAsia" w:ascii="宋体" w:hAnsi="宋体"/>
          <w:color w:val="auto"/>
          <w:szCs w:val="21"/>
        </w:rPr>
        <w:t>，</w:t>
      </w:r>
      <w:r>
        <w:rPr>
          <w:rFonts w:ascii="宋体" w:hAnsi="宋体"/>
          <w:color w:val="auto"/>
          <w:szCs w:val="21"/>
        </w:rPr>
        <w:t>均按照中华人民共和国法律的相关规定</w:t>
      </w:r>
      <w:r>
        <w:rPr>
          <w:rFonts w:hint="eastAsia" w:ascii="宋体" w:hAnsi="宋体"/>
          <w:color w:val="auto"/>
          <w:szCs w:val="21"/>
        </w:rPr>
        <w:t>缴纳</w:t>
      </w:r>
      <w:r>
        <w:rPr>
          <w:rFonts w:ascii="宋体" w:hAnsi="宋体"/>
          <w:color w:val="auto"/>
          <w:szCs w:val="21"/>
        </w:rPr>
        <w:t>。</w:t>
      </w:r>
    </w:p>
    <w:p>
      <w:pPr>
        <w:spacing w:line="360" w:lineRule="auto"/>
        <w:ind w:firstLine="437"/>
        <w:outlineLvl w:val="3"/>
        <w:rPr>
          <w:rFonts w:ascii="宋体" w:hAnsi="宋体"/>
          <w:b/>
          <w:bCs/>
          <w:color w:val="auto"/>
          <w:szCs w:val="21"/>
          <w:lang w:val="zh-CN"/>
        </w:rPr>
      </w:pPr>
      <w:bookmarkStart w:id="714" w:name="_Toc279701258"/>
      <w:bookmarkStart w:id="715" w:name="_Toc7102"/>
      <w:bookmarkStart w:id="716" w:name="_Toc8298"/>
      <w:bookmarkStart w:id="717" w:name="_Toc259093687"/>
      <w:bookmarkStart w:id="718" w:name="_Toc16959"/>
      <w:bookmarkStart w:id="719" w:name="_Toc487900368"/>
      <w:r>
        <w:rPr>
          <w:rFonts w:hint="eastAsia" w:ascii="宋体" w:hAnsi="宋体"/>
          <w:b/>
          <w:bCs/>
          <w:color w:val="auto"/>
          <w:szCs w:val="21"/>
          <w:lang w:val="zh-CN"/>
        </w:rPr>
        <w:t>2.</w:t>
      </w:r>
      <w:r>
        <w:rPr>
          <w:rFonts w:ascii="宋体" w:hAnsi="宋体"/>
          <w:b/>
          <w:bCs/>
          <w:color w:val="auto"/>
          <w:szCs w:val="21"/>
          <w:lang w:val="zh-CN"/>
        </w:rPr>
        <w:t>13</w:t>
      </w:r>
      <w:r>
        <w:rPr>
          <w:rFonts w:hint="eastAsia" w:ascii="宋体" w:hAnsi="宋体"/>
          <w:b/>
          <w:bCs/>
          <w:color w:val="auto"/>
          <w:szCs w:val="21"/>
          <w:lang w:val="zh-CN"/>
        </w:rPr>
        <w:t xml:space="preserve"> </w:t>
      </w:r>
      <w:r>
        <w:rPr>
          <w:rFonts w:ascii="宋体" w:hAnsi="宋体"/>
          <w:b/>
          <w:bCs/>
          <w:color w:val="auto"/>
          <w:szCs w:val="21"/>
          <w:lang w:val="zh-CN"/>
        </w:rPr>
        <w:t>乙方破产</w:t>
      </w:r>
      <w:bookmarkEnd w:id="714"/>
      <w:bookmarkEnd w:id="715"/>
      <w:bookmarkEnd w:id="716"/>
      <w:bookmarkEnd w:id="717"/>
      <w:bookmarkEnd w:id="718"/>
      <w:bookmarkEnd w:id="719"/>
    </w:p>
    <w:p>
      <w:pPr>
        <w:spacing w:line="360" w:lineRule="auto"/>
        <w:ind w:firstLine="435"/>
        <w:rPr>
          <w:rFonts w:ascii="宋体" w:hAnsi="宋体"/>
          <w:color w:val="auto"/>
          <w:szCs w:val="21"/>
        </w:rPr>
      </w:pPr>
      <w:r>
        <w:rPr>
          <w:rFonts w:ascii="宋体" w:hAnsi="宋体"/>
          <w:color w:val="auto"/>
          <w:szCs w:val="21"/>
        </w:rPr>
        <w:t>如果乙方破产导致合同无法履行时，甲方可以书面形式通知乙方终止合同且不给予乙方任何补偿和赔偿</w:t>
      </w:r>
      <w:r>
        <w:rPr>
          <w:rFonts w:hint="eastAsia" w:ascii="宋体" w:hAnsi="宋体"/>
          <w:color w:val="auto"/>
          <w:szCs w:val="21"/>
        </w:rPr>
        <w:t>，但合同的</w:t>
      </w:r>
      <w:r>
        <w:rPr>
          <w:rFonts w:ascii="宋体" w:hAnsi="宋体"/>
          <w:color w:val="auto"/>
          <w:szCs w:val="21"/>
        </w:rPr>
        <w:t>终止不损害或不影响甲方已经采取或将要采取的任何要求乙方支付违约金</w:t>
      </w:r>
      <w:r>
        <w:rPr>
          <w:rFonts w:hint="eastAsia" w:ascii="宋体" w:hAnsi="宋体"/>
          <w:color w:val="auto"/>
          <w:szCs w:val="21"/>
        </w:rPr>
        <w:t>、</w:t>
      </w:r>
      <w:r>
        <w:rPr>
          <w:rFonts w:ascii="宋体" w:hAnsi="宋体"/>
          <w:color w:val="auto"/>
          <w:szCs w:val="21"/>
        </w:rPr>
        <w:t>赔偿损失等的行动或补救措施的权利</w:t>
      </w:r>
      <w:r>
        <w:rPr>
          <w:rFonts w:hint="eastAsia" w:ascii="宋体" w:hAnsi="宋体"/>
          <w:color w:val="auto"/>
          <w:szCs w:val="21"/>
        </w:rPr>
        <w:t>。</w:t>
      </w:r>
    </w:p>
    <w:p>
      <w:pPr>
        <w:spacing w:line="360" w:lineRule="auto"/>
        <w:ind w:firstLine="437"/>
        <w:outlineLvl w:val="3"/>
        <w:rPr>
          <w:rFonts w:ascii="宋体" w:hAnsi="宋体"/>
          <w:b/>
          <w:color w:val="auto"/>
          <w:szCs w:val="21"/>
        </w:rPr>
      </w:pPr>
      <w:bookmarkStart w:id="720" w:name="_Toc29333"/>
      <w:bookmarkStart w:id="721" w:name="_Toc15387"/>
      <w:bookmarkStart w:id="722" w:name="_Toc6134"/>
      <w:r>
        <w:rPr>
          <w:rFonts w:hint="eastAsia" w:ascii="宋体" w:hAnsi="宋体"/>
          <w:b/>
          <w:bCs/>
          <w:color w:val="auto"/>
          <w:szCs w:val="21"/>
          <w:lang w:val="zh-CN"/>
        </w:rPr>
        <w:t>2.1</w:t>
      </w:r>
      <w:r>
        <w:rPr>
          <w:rFonts w:ascii="宋体" w:hAnsi="宋体"/>
          <w:b/>
          <w:bCs/>
          <w:color w:val="auto"/>
          <w:szCs w:val="21"/>
          <w:lang w:val="zh-CN"/>
        </w:rPr>
        <w:t>4</w:t>
      </w:r>
      <w:r>
        <w:rPr>
          <w:rFonts w:hint="eastAsia" w:ascii="宋体" w:hAnsi="宋体"/>
          <w:b/>
          <w:bCs/>
          <w:color w:val="auto"/>
          <w:szCs w:val="21"/>
          <w:lang w:val="zh-CN"/>
        </w:rPr>
        <w:t xml:space="preserve"> 合同中止、终止</w:t>
      </w:r>
      <w:bookmarkEnd w:id="720"/>
      <w:bookmarkEnd w:id="721"/>
      <w:bookmarkEnd w:id="722"/>
    </w:p>
    <w:p>
      <w:pPr>
        <w:spacing w:line="360" w:lineRule="auto"/>
        <w:ind w:firstLine="435"/>
        <w:rPr>
          <w:rFonts w:ascii="宋体" w:hAnsi="宋体"/>
          <w:color w:val="auto"/>
          <w:szCs w:val="21"/>
        </w:rPr>
      </w:pPr>
      <w:r>
        <w:rPr>
          <w:rFonts w:hint="eastAsia" w:ascii="宋体" w:hAnsi="宋体"/>
          <w:color w:val="auto"/>
          <w:szCs w:val="21"/>
        </w:rPr>
        <w:t>2.1</w:t>
      </w:r>
      <w:r>
        <w:rPr>
          <w:rFonts w:ascii="宋体" w:hAnsi="宋体"/>
          <w:color w:val="auto"/>
          <w:szCs w:val="21"/>
        </w:rPr>
        <w:t>4</w:t>
      </w:r>
      <w:r>
        <w:rPr>
          <w:rFonts w:hint="eastAsia" w:ascii="宋体" w:hAnsi="宋体"/>
          <w:color w:val="auto"/>
          <w:szCs w:val="21"/>
        </w:rPr>
        <w:t>.1双方当事人不得擅自中止或者终止合同；</w:t>
      </w:r>
    </w:p>
    <w:p>
      <w:pPr>
        <w:spacing w:line="360" w:lineRule="auto"/>
        <w:ind w:firstLine="435"/>
        <w:rPr>
          <w:rFonts w:ascii="宋体" w:hAnsi="宋体"/>
          <w:color w:val="auto"/>
          <w:szCs w:val="21"/>
        </w:rPr>
      </w:pPr>
      <w:r>
        <w:rPr>
          <w:rFonts w:hint="eastAsia" w:ascii="宋体" w:hAnsi="宋体"/>
          <w:color w:val="auto"/>
          <w:szCs w:val="21"/>
        </w:rPr>
        <w:t>2.1</w:t>
      </w:r>
      <w:r>
        <w:rPr>
          <w:rFonts w:ascii="宋体" w:hAnsi="宋体"/>
          <w:color w:val="auto"/>
          <w:szCs w:val="21"/>
        </w:rPr>
        <w:t>4</w:t>
      </w:r>
      <w:r>
        <w:rPr>
          <w:rFonts w:hint="eastAsia" w:ascii="宋体" w:hAnsi="宋体"/>
          <w:color w:val="auto"/>
          <w:szCs w:val="21"/>
        </w:rPr>
        <w:t>.2合同继续履行将损害国家利益和社会公共利益的，双方当事人应当中止或者终止合同。有过错的一方应当承担赔偿责任，双方当事人都有过错的，各自承担相应的责任。</w:t>
      </w:r>
    </w:p>
    <w:p>
      <w:pPr>
        <w:spacing w:line="360" w:lineRule="auto"/>
        <w:ind w:firstLine="437"/>
        <w:outlineLvl w:val="3"/>
        <w:rPr>
          <w:rFonts w:ascii="宋体" w:hAnsi="宋体"/>
          <w:b/>
          <w:bCs/>
          <w:color w:val="auto"/>
          <w:szCs w:val="21"/>
          <w:lang w:val="zh-CN"/>
        </w:rPr>
      </w:pPr>
      <w:bookmarkStart w:id="723" w:name="_Toc6596"/>
      <w:bookmarkStart w:id="724" w:name="_Toc14563"/>
      <w:bookmarkStart w:id="725" w:name="_Toc1125"/>
      <w:r>
        <w:rPr>
          <w:rFonts w:hint="eastAsia" w:ascii="宋体" w:hAnsi="宋体"/>
          <w:b/>
          <w:bCs/>
          <w:color w:val="auto"/>
          <w:szCs w:val="21"/>
          <w:lang w:val="zh-CN"/>
        </w:rPr>
        <w:t>2.1</w:t>
      </w:r>
      <w:r>
        <w:rPr>
          <w:rFonts w:ascii="宋体" w:hAnsi="宋体"/>
          <w:b/>
          <w:bCs/>
          <w:color w:val="auto"/>
          <w:szCs w:val="21"/>
          <w:lang w:val="zh-CN"/>
        </w:rPr>
        <w:t>5</w:t>
      </w:r>
      <w:r>
        <w:rPr>
          <w:rFonts w:hint="eastAsia" w:ascii="宋体" w:hAnsi="宋体"/>
          <w:b/>
          <w:bCs/>
          <w:color w:val="auto"/>
          <w:szCs w:val="21"/>
          <w:lang w:val="zh-CN"/>
        </w:rPr>
        <w:t xml:space="preserve"> 检验和验收</w:t>
      </w:r>
      <w:bookmarkEnd w:id="723"/>
      <w:bookmarkEnd w:id="724"/>
      <w:bookmarkEnd w:id="725"/>
    </w:p>
    <w:p>
      <w:pPr>
        <w:spacing w:line="360" w:lineRule="auto"/>
        <w:ind w:firstLine="435"/>
        <w:rPr>
          <w:rFonts w:ascii="宋体" w:hAnsi="宋体"/>
          <w:color w:val="auto"/>
          <w:szCs w:val="21"/>
        </w:rPr>
      </w:pPr>
      <w:r>
        <w:rPr>
          <w:rFonts w:hint="eastAsia" w:ascii="宋体" w:hAnsi="宋体"/>
          <w:color w:val="auto"/>
          <w:szCs w:val="21"/>
        </w:rPr>
        <w:t>2.</w:t>
      </w:r>
      <w:r>
        <w:rPr>
          <w:rFonts w:ascii="宋体" w:hAnsi="宋体"/>
          <w:color w:val="auto"/>
          <w:szCs w:val="21"/>
        </w:rPr>
        <w:t>1</w:t>
      </w:r>
      <w:r>
        <w:rPr>
          <w:rFonts w:hint="eastAsia" w:ascii="宋体" w:hAnsi="宋体"/>
          <w:color w:val="auto"/>
          <w:szCs w:val="21"/>
        </w:rPr>
        <w:t>5</w:t>
      </w:r>
      <w:r>
        <w:rPr>
          <w:rFonts w:ascii="宋体" w:hAnsi="宋体"/>
          <w:color w:val="auto"/>
          <w:szCs w:val="21"/>
        </w:rPr>
        <w:t>.</w:t>
      </w:r>
      <w:r>
        <w:rPr>
          <w:rFonts w:hint="eastAsia" w:ascii="宋体" w:hAnsi="宋体"/>
          <w:color w:val="auto"/>
          <w:szCs w:val="21"/>
        </w:rPr>
        <w:t>1乙方按照</w:t>
      </w:r>
      <w:r>
        <w:rPr>
          <w:rFonts w:ascii="宋体" w:hAnsi="宋体"/>
          <w:b/>
          <w:i/>
          <w:color w:val="auto"/>
          <w:szCs w:val="21"/>
          <w:u w:val="single"/>
        </w:rPr>
        <w:t>合同专用条款</w:t>
      </w:r>
      <w:r>
        <w:rPr>
          <w:rFonts w:ascii="宋体" w:hAnsi="宋体"/>
          <w:color w:val="auto"/>
          <w:szCs w:val="21"/>
        </w:rPr>
        <w:t>的约定</w:t>
      </w:r>
      <w:r>
        <w:rPr>
          <w:rFonts w:hint="eastAsia" w:ascii="宋体" w:hAnsi="宋体"/>
          <w:color w:val="auto"/>
          <w:szCs w:val="21"/>
        </w:rPr>
        <w:t>，</w:t>
      </w:r>
      <w:r>
        <w:rPr>
          <w:rFonts w:ascii="宋体" w:hAnsi="宋体"/>
          <w:color w:val="auto"/>
          <w:szCs w:val="21"/>
        </w:rPr>
        <w:t>定期提交服务报告</w:t>
      </w:r>
      <w:r>
        <w:rPr>
          <w:rFonts w:hint="eastAsia" w:ascii="宋体" w:hAnsi="宋体"/>
          <w:color w:val="auto"/>
          <w:szCs w:val="21"/>
        </w:rPr>
        <w:t>，甲方按照</w:t>
      </w:r>
      <w:r>
        <w:rPr>
          <w:rFonts w:ascii="宋体" w:hAnsi="宋体"/>
          <w:b/>
          <w:i/>
          <w:color w:val="auto"/>
          <w:szCs w:val="21"/>
          <w:u w:val="single"/>
        </w:rPr>
        <w:t>合同专用条款</w:t>
      </w:r>
      <w:r>
        <w:rPr>
          <w:rFonts w:ascii="宋体" w:hAnsi="宋体"/>
          <w:color w:val="auto"/>
          <w:szCs w:val="21"/>
        </w:rPr>
        <w:t>的约定进行定期验收</w:t>
      </w:r>
      <w:r>
        <w:rPr>
          <w:rFonts w:hint="eastAsia" w:ascii="宋体" w:hAnsi="宋体"/>
          <w:color w:val="auto"/>
          <w:szCs w:val="21"/>
        </w:rPr>
        <w:t>；</w:t>
      </w:r>
    </w:p>
    <w:p>
      <w:pPr>
        <w:spacing w:line="360" w:lineRule="auto"/>
        <w:ind w:firstLine="435"/>
        <w:rPr>
          <w:rFonts w:ascii="宋体" w:hAnsi="宋体"/>
          <w:color w:val="auto"/>
          <w:szCs w:val="21"/>
        </w:rPr>
      </w:pPr>
      <w:r>
        <w:rPr>
          <w:rFonts w:hint="eastAsia" w:ascii="宋体" w:hAnsi="宋体"/>
          <w:color w:val="auto"/>
          <w:szCs w:val="21"/>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spacing w:line="360" w:lineRule="auto"/>
        <w:ind w:firstLine="435"/>
        <w:rPr>
          <w:rFonts w:ascii="宋体" w:hAnsi="宋体"/>
          <w:color w:val="auto"/>
          <w:szCs w:val="21"/>
        </w:rPr>
      </w:pPr>
      <w:r>
        <w:rPr>
          <w:rFonts w:hint="eastAsia" w:ascii="宋体" w:hAnsi="宋体"/>
          <w:color w:val="auto"/>
          <w:szCs w:val="21"/>
        </w:rPr>
        <w:t>2.15.3检验和验收标准、程序等具体内容以及前述验收书的效力详见</w:t>
      </w:r>
      <w:r>
        <w:rPr>
          <w:rFonts w:ascii="宋体" w:hAnsi="宋体"/>
          <w:b/>
          <w:i/>
          <w:color w:val="auto"/>
          <w:szCs w:val="21"/>
          <w:u w:val="single"/>
        </w:rPr>
        <w:t>合同专用条款</w:t>
      </w:r>
      <w:r>
        <w:rPr>
          <w:rFonts w:hint="eastAsia" w:ascii="宋体" w:hAnsi="宋体"/>
          <w:i/>
          <w:color w:val="auto"/>
          <w:szCs w:val="21"/>
        </w:rPr>
        <w:t>。</w:t>
      </w:r>
    </w:p>
    <w:bookmarkEnd w:id="695"/>
    <w:bookmarkEnd w:id="696"/>
    <w:bookmarkEnd w:id="697"/>
    <w:bookmarkEnd w:id="698"/>
    <w:p>
      <w:pPr>
        <w:spacing w:line="360" w:lineRule="auto"/>
        <w:ind w:firstLine="437"/>
        <w:outlineLvl w:val="3"/>
        <w:rPr>
          <w:rFonts w:ascii="宋体" w:hAnsi="宋体"/>
          <w:b/>
          <w:bCs/>
          <w:color w:val="auto"/>
          <w:szCs w:val="21"/>
        </w:rPr>
      </w:pPr>
      <w:bookmarkStart w:id="726" w:name="_Toc12773"/>
      <w:bookmarkStart w:id="727" w:name="_Toc279701263"/>
      <w:bookmarkStart w:id="728" w:name="_Toc10330"/>
      <w:bookmarkStart w:id="729" w:name="_Toc487900373"/>
      <w:bookmarkStart w:id="730" w:name="_Toc259093692"/>
      <w:bookmarkStart w:id="731" w:name="_Toc18567"/>
      <w:r>
        <w:rPr>
          <w:rFonts w:hint="eastAsia" w:ascii="宋体" w:hAnsi="宋体"/>
          <w:b/>
          <w:bCs/>
          <w:color w:val="auto"/>
          <w:szCs w:val="21"/>
        </w:rPr>
        <w:t>2.</w:t>
      </w:r>
      <w:r>
        <w:rPr>
          <w:rFonts w:ascii="宋体" w:hAnsi="宋体"/>
          <w:b/>
          <w:bCs/>
          <w:color w:val="auto"/>
          <w:szCs w:val="21"/>
        </w:rPr>
        <w:t>16</w:t>
      </w:r>
      <w:r>
        <w:rPr>
          <w:rFonts w:hint="eastAsia" w:ascii="宋体" w:hAnsi="宋体"/>
          <w:b/>
          <w:bCs/>
          <w:color w:val="auto"/>
          <w:szCs w:val="21"/>
        </w:rPr>
        <w:t xml:space="preserve"> </w:t>
      </w:r>
      <w:r>
        <w:rPr>
          <w:rFonts w:hint="eastAsia" w:ascii="宋体" w:hAnsi="宋体"/>
          <w:b/>
          <w:bCs/>
          <w:color w:val="auto"/>
          <w:szCs w:val="21"/>
          <w:lang w:val="zh-CN"/>
        </w:rPr>
        <w:t>合同使用的文字和</w:t>
      </w:r>
      <w:r>
        <w:rPr>
          <w:rFonts w:ascii="宋体" w:hAnsi="宋体"/>
          <w:b/>
          <w:bCs/>
          <w:color w:val="auto"/>
          <w:szCs w:val="21"/>
          <w:lang w:val="zh-CN"/>
        </w:rPr>
        <w:t>适用的法律</w:t>
      </w:r>
      <w:bookmarkEnd w:id="726"/>
      <w:bookmarkEnd w:id="727"/>
      <w:bookmarkEnd w:id="728"/>
      <w:bookmarkEnd w:id="729"/>
      <w:bookmarkEnd w:id="730"/>
      <w:bookmarkEnd w:id="731"/>
    </w:p>
    <w:p>
      <w:pPr>
        <w:spacing w:line="360" w:lineRule="auto"/>
        <w:ind w:firstLine="435"/>
        <w:rPr>
          <w:rFonts w:ascii="宋体" w:hAnsi="宋体"/>
          <w:color w:val="auto"/>
          <w:szCs w:val="21"/>
        </w:rPr>
      </w:pPr>
      <w:r>
        <w:rPr>
          <w:rFonts w:hint="eastAsia" w:ascii="宋体" w:hAnsi="宋体"/>
          <w:color w:val="auto"/>
          <w:szCs w:val="21"/>
        </w:rPr>
        <w:t>2.</w:t>
      </w:r>
      <w:r>
        <w:rPr>
          <w:rFonts w:ascii="宋体" w:hAnsi="宋体"/>
          <w:color w:val="auto"/>
          <w:szCs w:val="21"/>
        </w:rPr>
        <w:t>16.1合同使用汉语</w:t>
      </w:r>
      <w:r>
        <w:rPr>
          <w:rFonts w:hint="eastAsia" w:ascii="宋体" w:hAnsi="宋体"/>
          <w:color w:val="auto"/>
          <w:szCs w:val="21"/>
        </w:rPr>
        <w:t>进行</w:t>
      </w:r>
      <w:r>
        <w:rPr>
          <w:rFonts w:ascii="宋体" w:hAnsi="宋体"/>
          <w:color w:val="auto"/>
          <w:szCs w:val="21"/>
        </w:rPr>
        <w:t>书</w:t>
      </w:r>
      <w:r>
        <w:rPr>
          <w:rFonts w:hint="eastAsia" w:ascii="宋体" w:hAnsi="宋体"/>
          <w:color w:val="auto"/>
          <w:szCs w:val="21"/>
        </w:rPr>
        <w:t>写、</w:t>
      </w:r>
      <w:r>
        <w:rPr>
          <w:rFonts w:ascii="宋体" w:hAnsi="宋体"/>
          <w:color w:val="auto"/>
          <w:szCs w:val="21"/>
        </w:rPr>
        <w:t>变更和解释</w:t>
      </w:r>
      <w:r>
        <w:rPr>
          <w:rFonts w:hint="eastAsia" w:ascii="宋体" w:hAnsi="宋体"/>
          <w:color w:val="auto"/>
          <w:szCs w:val="21"/>
        </w:rPr>
        <w:t>；</w:t>
      </w:r>
    </w:p>
    <w:p>
      <w:pPr>
        <w:spacing w:line="360" w:lineRule="auto"/>
        <w:ind w:firstLine="435"/>
        <w:rPr>
          <w:rFonts w:ascii="宋体" w:hAnsi="宋体"/>
          <w:color w:val="auto"/>
          <w:szCs w:val="21"/>
        </w:rPr>
      </w:pPr>
      <w:r>
        <w:rPr>
          <w:rFonts w:hint="eastAsia" w:ascii="宋体" w:hAnsi="宋体"/>
          <w:color w:val="auto"/>
          <w:szCs w:val="21"/>
        </w:rPr>
        <w:t>2.</w:t>
      </w:r>
      <w:r>
        <w:rPr>
          <w:rFonts w:ascii="宋体" w:hAnsi="宋体"/>
          <w:color w:val="auto"/>
          <w:szCs w:val="21"/>
        </w:rPr>
        <w:t>16</w:t>
      </w:r>
      <w:r>
        <w:rPr>
          <w:rFonts w:hint="eastAsia" w:ascii="宋体" w:hAnsi="宋体"/>
          <w:color w:val="auto"/>
          <w:szCs w:val="21"/>
        </w:rPr>
        <w:t>.2合同适用</w:t>
      </w:r>
      <w:r>
        <w:rPr>
          <w:rFonts w:ascii="宋体" w:hAnsi="宋体"/>
          <w:color w:val="auto"/>
          <w:szCs w:val="21"/>
        </w:rPr>
        <w:t>中华人民共和国法律。</w:t>
      </w:r>
    </w:p>
    <w:p>
      <w:pPr>
        <w:spacing w:line="360" w:lineRule="auto"/>
        <w:ind w:firstLine="437"/>
        <w:outlineLvl w:val="3"/>
        <w:rPr>
          <w:rFonts w:ascii="宋体" w:hAnsi="宋体"/>
          <w:b/>
          <w:color w:val="auto"/>
          <w:szCs w:val="21"/>
        </w:rPr>
      </w:pPr>
      <w:bookmarkStart w:id="732" w:name="_Toc14001"/>
      <w:bookmarkStart w:id="733" w:name="_Toc6885"/>
      <w:bookmarkStart w:id="734" w:name="_Toc19890"/>
      <w:r>
        <w:rPr>
          <w:rFonts w:hint="eastAsia" w:ascii="宋体" w:hAnsi="宋体"/>
          <w:b/>
          <w:bCs/>
          <w:color w:val="auto"/>
          <w:szCs w:val="21"/>
          <w:lang w:val="zh-CN"/>
        </w:rPr>
        <w:t>2.</w:t>
      </w:r>
      <w:r>
        <w:rPr>
          <w:rFonts w:ascii="宋体" w:hAnsi="宋体"/>
          <w:b/>
          <w:bCs/>
          <w:color w:val="auto"/>
          <w:szCs w:val="21"/>
          <w:lang w:val="zh-CN"/>
        </w:rPr>
        <w:t>1</w:t>
      </w:r>
      <w:r>
        <w:rPr>
          <w:rFonts w:hint="eastAsia" w:ascii="宋体" w:hAnsi="宋体"/>
          <w:b/>
          <w:bCs/>
          <w:color w:val="auto"/>
          <w:szCs w:val="21"/>
        </w:rPr>
        <w:t>7</w:t>
      </w:r>
      <w:r>
        <w:rPr>
          <w:rFonts w:hint="eastAsia" w:ascii="宋体" w:hAnsi="宋体"/>
          <w:b/>
          <w:bCs/>
          <w:color w:val="auto"/>
          <w:szCs w:val="21"/>
          <w:lang w:val="zh-CN"/>
        </w:rPr>
        <w:t xml:space="preserve"> 合同份数</w:t>
      </w:r>
      <w:bookmarkEnd w:id="732"/>
      <w:bookmarkEnd w:id="733"/>
      <w:bookmarkEnd w:id="734"/>
    </w:p>
    <w:p>
      <w:pPr>
        <w:pStyle w:val="4"/>
        <w:overflowPunct w:val="0"/>
        <w:spacing w:line="440" w:lineRule="exact"/>
        <w:rPr>
          <w:rFonts w:ascii="宋体" w:cs="宋体"/>
          <w:color w:val="auto"/>
          <w:szCs w:val="21"/>
          <w:u w:color="000000"/>
        </w:rPr>
      </w:pPr>
      <w:r>
        <w:rPr>
          <w:rFonts w:hint="eastAsia" w:ascii="宋体" w:hAnsi="宋体"/>
          <w:color w:val="auto"/>
          <w:szCs w:val="21"/>
        </w:rPr>
        <w:t>一式六份，甲方四份，乙方两份，</w:t>
      </w:r>
      <w:r>
        <w:rPr>
          <w:rFonts w:ascii="宋体" w:hAnsi="宋体"/>
          <w:color w:val="auto"/>
          <w:szCs w:val="21"/>
        </w:rPr>
        <w:t>每份均具有同等法律效力</w:t>
      </w:r>
      <w:r>
        <w:rPr>
          <w:rFonts w:hint="eastAsia" w:ascii="宋体" w:hAnsi="宋体"/>
          <w:color w:val="auto"/>
          <w:szCs w:val="21"/>
        </w:rPr>
        <w:t>。</w:t>
      </w:r>
    </w:p>
    <w:p>
      <w:pPr>
        <w:widowControl/>
        <w:spacing w:line="360" w:lineRule="auto"/>
        <w:ind w:left="640" w:leftChars="305" w:firstLine="210" w:firstLineChars="100"/>
        <w:jc w:val="left"/>
        <w:rPr>
          <w:rFonts w:ascii="宋体" w:hAnsi="宋体"/>
          <w:color w:val="auto"/>
          <w:kern w:val="0"/>
          <w:szCs w:val="21"/>
        </w:rPr>
      </w:pPr>
    </w:p>
    <w:p>
      <w:pPr>
        <w:widowControl/>
        <w:spacing w:line="360" w:lineRule="auto"/>
        <w:ind w:left="640" w:leftChars="305" w:firstLine="210" w:firstLineChars="100"/>
        <w:jc w:val="left"/>
        <w:rPr>
          <w:rFonts w:ascii="宋体" w:hAnsi="宋体"/>
          <w:color w:val="auto"/>
          <w:kern w:val="0"/>
          <w:szCs w:val="21"/>
        </w:rPr>
      </w:pPr>
    </w:p>
    <w:p>
      <w:pPr>
        <w:widowControl/>
        <w:spacing w:line="360" w:lineRule="auto"/>
        <w:ind w:left="640" w:leftChars="305" w:firstLine="210" w:firstLineChars="100"/>
        <w:jc w:val="left"/>
        <w:rPr>
          <w:rFonts w:ascii="宋体" w:hAnsi="宋体"/>
          <w:color w:val="auto"/>
          <w:kern w:val="0"/>
          <w:szCs w:val="21"/>
        </w:rPr>
      </w:pPr>
    </w:p>
    <w:p>
      <w:pPr>
        <w:widowControl/>
        <w:spacing w:line="360" w:lineRule="auto"/>
        <w:ind w:left="640" w:leftChars="305" w:firstLine="210" w:firstLineChars="100"/>
        <w:jc w:val="left"/>
        <w:rPr>
          <w:rFonts w:ascii="宋体" w:hAnsi="宋体"/>
          <w:color w:val="auto"/>
          <w:kern w:val="0"/>
          <w:szCs w:val="21"/>
        </w:rPr>
      </w:pPr>
      <w:r>
        <w:rPr>
          <w:rFonts w:ascii="宋体" w:hAnsi="宋体"/>
          <w:color w:val="auto"/>
          <w:kern w:val="0"/>
          <w:szCs w:val="21"/>
        </w:rPr>
        <w:t>　　</w:t>
      </w:r>
    </w:p>
    <w:p>
      <w:pPr>
        <w:spacing w:before="156" w:beforeLines="50" w:after="156" w:afterLines="50"/>
        <w:jc w:val="center"/>
        <w:outlineLvl w:val="0"/>
        <w:rPr>
          <w:rFonts w:ascii="宋体"/>
          <w:b/>
          <w:color w:val="auto"/>
          <w:sz w:val="32"/>
          <w:szCs w:val="32"/>
        </w:rPr>
      </w:pPr>
    </w:p>
    <w:p>
      <w:pPr>
        <w:spacing w:before="156" w:beforeLines="50" w:after="156" w:afterLines="50"/>
        <w:jc w:val="center"/>
        <w:outlineLvl w:val="0"/>
        <w:rPr>
          <w:rFonts w:ascii="宋体"/>
          <w:b/>
          <w:color w:val="auto"/>
          <w:sz w:val="32"/>
          <w:szCs w:val="32"/>
        </w:rPr>
      </w:pPr>
    </w:p>
    <w:p>
      <w:pPr>
        <w:pStyle w:val="50"/>
        <w:ind w:firstLine="643"/>
        <w:rPr>
          <w:rFonts w:ascii="宋体"/>
          <w:b/>
          <w:color w:val="auto"/>
          <w:sz w:val="32"/>
          <w:szCs w:val="32"/>
        </w:rPr>
      </w:pPr>
    </w:p>
    <w:p>
      <w:pPr>
        <w:rPr>
          <w:rFonts w:ascii="宋体"/>
          <w:b/>
          <w:color w:val="auto"/>
          <w:sz w:val="32"/>
          <w:szCs w:val="32"/>
        </w:rPr>
      </w:pPr>
    </w:p>
    <w:p>
      <w:pPr>
        <w:pStyle w:val="50"/>
        <w:ind w:firstLine="643"/>
        <w:rPr>
          <w:rFonts w:ascii="宋体"/>
          <w:b/>
          <w:color w:val="auto"/>
          <w:sz w:val="32"/>
          <w:szCs w:val="32"/>
        </w:rPr>
      </w:pPr>
    </w:p>
    <w:p>
      <w:pPr>
        <w:rPr>
          <w:color w:val="auto"/>
        </w:rPr>
      </w:pPr>
    </w:p>
    <w:p>
      <w:pPr>
        <w:spacing w:before="156" w:beforeLines="50" w:after="156" w:afterLines="50"/>
        <w:jc w:val="center"/>
        <w:outlineLvl w:val="0"/>
        <w:rPr>
          <w:rFonts w:ascii="宋体"/>
          <w:b/>
          <w:color w:val="auto"/>
          <w:sz w:val="32"/>
          <w:szCs w:val="32"/>
        </w:rPr>
      </w:pPr>
      <w:r>
        <w:rPr>
          <w:rFonts w:hint="eastAsia" w:ascii="宋体"/>
          <w:b/>
          <w:color w:val="auto"/>
          <w:sz w:val="32"/>
          <w:szCs w:val="32"/>
        </w:rPr>
        <w:t>第五章  投标文件格式</w:t>
      </w:r>
      <w:bookmarkEnd w:id="592"/>
      <w:bookmarkEnd w:id="593"/>
    </w:p>
    <w:p>
      <w:pPr>
        <w:rPr>
          <w:rFonts w:eastAsia="黑体"/>
          <w:color w:val="auto"/>
          <w:sz w:val="20"/>
        </w:rPr>
      </w:pPr>
    </w:p>
    <w:p>
      <w:pPr>
        <w:jc w:val="center"/>
        <w:rPr>
          <w:rFonts w:eastAsia="黑体"/>
          <w:color w:val="auto"/>
          <w:sz w:val="44"/>
          <w:szCs w:val="44"/>
        </w:rPr>
      </w:pPr>
    </w:p>
    <w:p>
      <w:pPr>
        <w:jc w:val="center"/>
        <w:rPr>
          <w:rFonts w:ascii="宋体" w:hAnsi="宋体"/>
          <w:b/>
          <w:color w:val="auto"/>
          <w:sz w:val="28"/>
          <w:szCs w:val="28"/>
          <w:bdr w:val="single" w:color="000000" w:sz="4" w:space="0"/>
        </w:rPr>
      </w:pPr>
      <w:r>
        <w:rPr>
          <w:rFonts w:hint="eastAsia" w:ascii="宋体" w:hAnsi="宋体"/>
          <w:b/>
          <w:color w:val="auto"/>
          <w:sz w:val="28"/>
          <w:szCs w:val="28"/>
        </w:rPr>
        <w:t>一、资信证明格式文件</w:t>
      </w:r>
    </w:p>
    <w:p>
      <w:pPr>
        <w:jc w:val="center"/>
        <w:rPr>
          <w:rFonts w:eastAsia="黑体"/>
          <w:color w:val="auto"/>
          <w:sz w:val="20"/>
        </w:rPr>
      </w:pPr>
    </w:p>
    <w:p>
      <w:pPr>
        <w:rPr>
          <w:rFonts w:eastAsia="黑体"/>
          <w:color w:val="auto"/>
          <w:sz w:val="20"/>
        </w:rPr>
      </w:pPr>
    </w:p>
    <w:p>
      <w:pPr>
        <w:jc w:val="center"/>
        <w:rPr>
          <w:rFonts w:ascii="宋体"/>
          <w:b/>
          <w:color w:val="auto"/>
          <w:sz w:val="44"/>
          <w:szCs w:val="44"/>
        </w:rPr>
      </w:pPr>
      <w:bookmarkStart w:id="735" w:name="_Toc350698753"/>
      <w:bookmarkStart w:id="736" w:name="_Toc449028949"/>
      <w:r>
        <w:rPr>
          <w:rFonts w:hint="eastAsia" w:ascii="宋体"/>
          <w:b/>
          <w:color w:val="auto"/>
          <w:sz w:val="44"/>
          <w:szCs w:val="44"/>
        </w:rPr>
        <w:t>资信证明文件</w:t>
      </w:r>
      <w:bookmarkEnd w:id="735"/>
      <w:bookmarkEnd w:id="736"/>
    </w:p>
    <w:p>
      <w:pPr>
        <w:jc w:val="center"/>
        <w:rPr>
          <w:rFonts w:ascii="宋体"/>
          <w:color w:val="auto"/>
          <w:sz w:val="32"/>
          <w:szCs w:val="32"/>
        </w:rPr>
      </w:pPr>
      <w:r>
        <w:rPr>
          <w:rFonts w:hint="eastAsia" w:ascii="宋体"/>
          <w:color w:val="auto"/>
          <w:sz w:val="32"/>
          <w:szCs w:val="32"/>
        </w:rPr>
        <w:t>（投标文件一）</w:t>
      </w:r>
    </w:p>
    <w:p>
      <w:pPr>
        <w:jc w:val="center"/>
        <w:rPr>
          <w:rFonts w:eastAsia="黑体"/>
          <w:color w:val="auto"/>
          <w:sz w:val="44"/>
          <w:szCs w:val="44"/>
        </w:rPr>
      </w:pPr>
    </w:p>
    <w:p>
      <w:pPr>
        <w:jc w:val="center"/>
        <w:rPr>
          <w:rFonts w:ascii="宋体"/>
          <w:color w:val="auto"/>
          <w:sz w:val="32"/>
          <w:szCs w:val="32"/>
        </w:rPr>
      </w:pPr>
      <w:r>
        <w:rPr>
          <w:rFonts w:hint="eastAsia" w:ascii="宋体"/>
          <w:color w:val="auto"/>
          <w:sz w:val="32"/>
          <w:szCs w:val="32"/>
          <w:u w:val="single"/>
        </w:rPr>
        <w:t xml:space="preserve">        </w:t>
      </w:r>
      <w:r>
        <w:rPr>
          <w:rFonts w:hint="eastAsia" w:ascii="宋体"/>
          <w:color w:val="auto"/>
          <w:sz w:val="32"/>
          <w:szCs w:val="32"/>
        </w:rPr>
        <w:t>项目</w:t>
      </w:r>
    </w:p>
    <w:p>
      <w:pPr>
        <w:jc w:val="center"/>
        <w:rPr>
          <w:rFonts w:ascii="宋体"/>
          <w:color w:val="auto"/>
          <w:sz w:val="44"/>
          <w:szCs w:val="44"/>
        </w:rPr>
      </w:pPr>
      <w:r>
        <w:rPr>
          <w:rFonts w:hint="eastAsia" w:ascii="宋体"/>
          <w:color w:val="auto"/>
          <w:sz w:val="28"/>
          <w:szCs w:val="28"/>
        </w:rPr>
        <w:t>项目编号：</w:t>
      </w:r>
      <w:r>
        <w:rPr>
          <w:rFonts w:hint="eastAsia" w:ascii="宋体"/>
          <w:color w:val="auto"/>
          <w:sz w:val="28"/>
          <w:szCs w:val="28"/>
          <w:u w:val="single"/>
        </w:rPr>
        <w:t xml:space="preserve">     </w:t>
      </w:r>
    </w:p>
    <w:p>
      <w:pPr>
        <w:rPr>
          <w:rFonts w:ascii="宋体"/>
          <w:color w:val="auto"/>
          <w:sz w:val="28"/>
          <w:szCs w:val="28"/>
        </w:rPr>
      </w:pPr>
    </w:p>
    <w:p>
      <w:pPr>
        <w:rPr>
          <w:rFonts w:ascii="宋体"/>
          <w:color w:val="auto"/>
          <w:sz w:val="28"/>
          <w:szCs w:val="28"/>
        </w:rPr>
      </w:pPr>
    </w:p>
    <w:p>
      <w:pPr>
        <w:rPr>
          <w:rFonts w:ascii="宋体"/>
          <w:color w:val="auto"/>
          <w:sz w:val="28"/>
          <w:szCs w:val="28"/>
        </w:rPr>
      </w:pPr>
    </w:p>
    <w:p>
      <w:pPr>
        <w:rPr>
          <w:rFonts w:ascii="宋体"/>
          <w:color w:val="auto"/>
          <w:sz w:val="28"/>
          <w:szCs w:val="28"/>
        </w:rPr>
      </w:pPr>
    </w:p>
    <w:p>
      <w:pPr>
        <w:rPr>
          <w:rFonts w:ascii="宋体"/>
          <w:color w:val="auto"/>
          <w:sz w:val="28"/>
          <w:szCs w:val="28"/>
        </w:rPr>
      </w:pPr>
    </w:p>
    <w:p>
      <w:pPr>
        <w:rPr>
          <w:rFonts w:ascii="宋体"/>
          <w:color w:val="auto"/>
          <w:sz w:val="28"/>
          <w:szCs w:val="28"/>
        </w:rPr>
      </w:pPr>
    </w:p>
    <w:p>
      <w:pPr>
        <w:rPr>
          <w:rFonts w:ascii="宋体"/>
          <w:color w:val="auto"/>
          <w:sz w:val="28"/>
          <w:szCs w:val="28"/>
        </w:rPr>
      </w:pPr>
    </w:p>
    <w:p>
      <w:pPr>
        <w:jc w:val="center"/>
        <w:rPr>
          <w:rFonts w:ascii="宋体"/>
          <w:color w:val="auto"/>
          <w:sz w:val="28"/>
          <w:szCs w:val="28"/>
          <w:u w:val="single"/>
        </w:rPr>
      </w:pPr>
      <w:r>
        <w:rPr>
          <w:rFonts w:hint="eastAsia" w:ascii="宋体"/>
          <w:color w:val="auto"/>
          <w:sz w:val="28"/>
          <w:szCs w:val="28"/>
        </w:rPr>
        <w:t>投标人：</w:t>
      </w:r>
      <w:r>
        <w:rPr>
          <w:rFonts w:hint="eastAsia" w:ascii="宋体"/>
          <w:color w:val="auto"/>
          <w:sz w:val="28"/>
          <w:szCs w:val="28"/>
          <w:u w:val="single"/>
        </w:rPr>
        <w:t xml:space="preserve">                              </w:t>
      </w:r>
      <w:r>
        <w:rPr>
          <w:rFonts w:hint="eastAsia" w:ascii="宋体"/>
          <w:color w:val="auto"/>
          <w:sz w:val="28"/>
          <w:szCs w:val="28"/>
        </w:rPr>
        <w:t>（盖单位章）</w:t>
      </w:r>
    </w:p>
    <w:p>
      <w:pPr>
        <w:ind w:firstLine="560" w:firstLineChars="200"/>
        <w:rPr>
          <w:rFonts w:ascii="宋体"/>
          <w:color w:val="auto"/>
          <w:sz w:val="28"/>
          <w:szCs w:val="28"/>
        </w:rPr>
      </w:pPr>
      <w:r>
        <w:rPr>
          <w:rFonts w:hint="eastAsia" w:ascii="宋体"/>
          <w:color w:val="auto"/>
          <w:sz w:val="28"/>
          <w:szCs w:val="28"/>
        </w:rPr>
        <w:t>法定代表人：</w:t>
      </w:r>
      <w:r>
        <w:rPr>
          <w:rFonts w:hint="eastAsia" w:ascii="宋体"/>
          <w:color w:val="auto"/>
          <w:sz w:val="28"/>
          <w:szCs w:val="28"/>
          <w:u w:val="single"/>
        </w:rPr>
        <w:t xml:space="preserve">                              </w:t>
      </w:r>
      <w:r>
        <w:rPr>
          <w:rFonts w:hint="eastAsia" w:ascii="宋体"/>
          <w:color w:val="auto"/>
          <w:sz w:val="28"/>
          <w:szCs w:val="28"/>
        </w:rPr>
        <w:t>（签字或盖章）</w:t>
      </w:r>
    </w:p>
    <w:p>
      <w:pPr>
        <w:jc w:val="center"/>
        <w:rPr>
          <w:rFonts w:ascii="宋体"/>
          <w:color w:val="auto"/>
          <w:sz w:val="28"/>
          <w:szCs w:val="28"/>
        </w:rPr>
      </w:pPr>
      <w:r>
        <w:rPr>
          <w:rFonts w:hint="eastAsia" w:ascii="宋体"/>
          <w:color w:val="auto"/>
          <w:sz w:val="28"/>
          <w:szCs w:val="28"/>
          <w:u w:val="single"/>
        </w:rPr>
        <w:t xml:space="preserve">        </w:t>
      </w:r>
      <w:r>
        <w:rPr>
          <w:rFonts w:hint="eastAsia" w:ascii="宋体"/>
          <w:color w:val="auto"/>
          <w:sz w:val="28"/>
          <w:szCs w:val="28"/>
        </w:rPr>
        <w:t>年</w:t>
      </w:r>
      <w:r>
        <w:rPr>
          <w:rFonts w:hint="eastAsia" w:ascii="宋体"/>
          <w:color w:val="auto"/>
          <w:sz w:val="28"/>
          <w:szCs w:val="28"/>
          <w:u w:val="single"/>
        </w:rPr>
        <w:t xml:space="preserve">        </w:t>
      </w:r>
      <w:r>
        <w:rPr>
          <w:rFonts w:hint="eastAsia" w:ascii="宋体"/>
          <w:color w:val="auto"/>
          <w:sz w:val="28"/>
          <w:szCs w:val="28"/>
        </w:rPr>
        <w:t>月</w:t>
      </w:r>
      <w:r>
        <w:rPr>
          <w:rFonts w:hint="eastAsia" w:ascii="宋体"/>
          <w:color w:val="auto"/>
          <w:sz w:val="28"/>
          <w:szCs w:val="28"/>
          <w:u w:val="single"/>
        </w:rPr>
        <w:t xml:space="preserve">        </w:t>
      </w:r>
      <w:r>
        <w:rPr>
          <w:rFonts w:hint="eastAsia" w:ascii="宋体"/>
          <w:color w:val="auto"/>
          <w:sz w:val="28"/>
          <w:szCs w:val="28"/>
        </w:rPr>
        <w:t>日</w:t>
      </w:r>
    </w:p>
    <w:p>
      <w:pPr>
        <w:spacing w:line="720" w:lineRule="auto"/>
        <w:jc w:val="center"/>
        <w:rPr>
          <w:rFonts w:ascii="宋体"/>
          <w:b/>
          <w:color w:val="auto"/>
          <w:sz w:val="36"/>
          <w:szCs w:val="36"/>
        </w:rPr>
      </w:pPr>
    </w:p>
    <w:p>
      <w:pPr>
        <w:pStyle w:val="17"/>
        <w:rPr>
          <w:rFonts w:ascii="宋体"/>
          <w:color w:val="auto"/>
          <w:sz w:val="36"/>
          <w:szCs w:val="36"/>
        </w:rPr>
      </w:pPr>
    </w:p>
    <w:p>
      <w:pPr>
        <w:spacing w:line="400" w:lineRule="exact"/>
        <w:ind w:firstLine="4130" w:firstLineChars="935"/>
        <w:rPr>
          <w:b/>
          <w:color w:val="auto"/>
          <w:sz w:val="44"/>
          <w:szCs w:val="44"/>
        </w:rPr>
      </w:pPr>
    </w:p>
    <w:p>
      <w:pPr>
        <w:jc w:val="center"/>
        <w:rPr>
          <w:b/>
          <w:color w:val="auto"/>
          <w:sz w:val="44"/>
          <w:szCs w:val="44"/>
        </w:rPr>
      </w:pPr>
      <w:r>
        <w:rPr>
          <w:rFonts w:hint="eastAsia"/>
          <w:b/>
          <w:color w:val="auto"/>
          <w:sz w:val="36"/>
          <w:szCs w:val="36"/>
        </w:rPr>
        <w:t>目   录</w:t>
      </w:r>
    </w:p>
    <w:p>
      <w:pPr>
        <w:spacing w:line="400" w:lineRule="exact"/>
        <w:ind w:firstLine="562" w:firstLineChars="200"/>
        <w:rPr>
          <w:rFonts w:ascii="宋体" w:hAnsi="宋体" w:cs="宋体"/>
          <w:b/>
          <w:color w:val="auto"/>
          <w:sz w:val="28"/>
          <w:szCs w:val="28"/>
        </w:rPr>
      </w:pP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（1）法定代表人身份证明及其有效身份证复印件（或法定代表人授权委托书及其有效身份证复印件）（格式见附件）；                                                                                                                                                                                                                                                                                                                                                                                                                                                                                                                                                                                                                                                                                                                                                                                                                                                                                                                                                                                                                                                                                                                                                                                                                                                                                                                                                                                                                                                                                                                                                                                                                                                                                        </w:t>
      </w:r>
    </w:p>
    <w:p>
      <w:pPr>
        <w:spacing w:line="360" w:lineRule="auto"/>
        <w:ind w:firstLine="420" w:firstLineChars="200"/>
        <w:rPr>
          <w:rFonts w:ascii="宋体" w:hAnsi="宋体" w:cs="宋体"/>
          <w:color w:val="auto"/>
          <w:szCs w:val="21"/>
        </w:rPr>
      </w:pPr>
      <w:r>
        <w:rPr>
          <w:rFonts w:hint="eastAsia" w:ascii="宋体" w:hAnsi="宋体" w:cs="宋体"/>
          <w:color w:val="auto"/>
          <w:szCs w:val="21"/>
        </w:rPr>
        <w:t>（2）投标人有效的营业执照、税务登记证、组织机构代码证（或三合一证书）；</w:t>
      </w:r>
    </w:p>
    <w:p>
      <w:pPr>
        <w:spacing w:line="360" w:lineRule="auto"/>
        <w:ind w:firstLine="420" w:firstLineChars="200"/>
        <w:rPr>
          <w:rFonts w:ascii="宋体" w:hAnsi="宋体" w:cs="宋体"/>
          <w:color w:val="auto"/>
          <w:szCs w:val="21"/>
        </w:rPr>
      </w:pPr>
      <w:r>
        <w:rPr>
          <w:rFonts w:hint="eastAsia" w:ascii="宋体" w:hAnsi="宋体" w:cs="宋体"/>
          <w:color w:val="auto"/>
          <w:szCs w:val="21"/>
        </w:rPr>
        <w:t>（3）诚信投标承诺书（格式见附件）；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（4）招标文件中要求的资信评审和资信评分的支持资料；</w:t>
      </w:r>
    </w:p>
    <w:p>
      <w:pPr>
        <w:spacing w:line="360" w:lineRule="auto"/>
        <w:ind w:firstLine="420" w:firstLineChars="200"/>
        <w:rPr>
          <w:rFonts w:ascii="宋体" w:hAnsi="宋体" w:cs="宋体"/>
          <w:color w:val="auto"/>
          <w:szCs w:val="21"/>
        </w:rPr>
      </w:pPr>
      <w:r>
        <w:rPr>
          <w:rFonts w:hint="eastAsia" w:ascii="宋体" w:hAnsi="宋体" w:cs="宋体"/>
          <w:color w:val="auto"/>
          <w:szCs w:val="21"/>
        </w:rPr>
        <w:t>（5）投标人认为需要提供的其他资信证明材料。</w:t>
      </w:r>
    </w:p>
    <w:p>
      <w:pPr>
        <w:spacing w:line="360" w:lineRule="auto"/>
        <w:ind w:firstLine="420" w:firstLineChars="200"/>
        <w:rPr>
          <w:rFonts w:ascii="宋体" w:hAnsi="宋体" w:cs="宋体"/>
          <w:color w:val="auto"/>
          <w:szCs w:val="21"/>
        </w:rPr>
      </w:pPr>
    </w:p>
    <w:p>
      <w:pPr>
        <w:spacing w:line="360" w:lineRule="auto"/>
        <w:ind w:firstLine="420" w:firstLineChars="200"/>
        <w:rPr>
          <w:rFonts w:hAnsi="宋体"/>
          <w:color w:val="auto"/>
          <w:szCs w:val="21"/>
        </w:rPr>
      </w:pPr>
    </w:p>
    <w:p>
      <w:pPr>
        <w:spacing w:line="400" w:lineRule="exact"/>
        <w:ind w:firstLine="562" w:firstLineChars="200"/>
        <w:rPr>
          <w:b/>
          <w:color w:val="auto"/>
          <w:sz w:val="28"/>
          <w:szCs w:val="28"/>
        </w:rPr>
      </w:pPr>
    </w:p>
    <w:p>
      <w:pPr>
        <w:spacing w:line="400" w:lineRule="exact"/>
        <w:ind w:firstLine="562" w:firstLineChars="200"/>
        <w:rPr>
          <w:b/>
          <w:color w:val="auto"/>
          <w:sz w:val="28"/>
          <w:szCs w:val="28"/>
        </w:rPr>
      </w:pPr>
    </w:p>
    <w:p>
      <w:pPr>
        <w:spacing w:line="400" w:lineRule="exact"/>
        <w:ind w:firstLine="562" w:firstLineChars="200"/>
        <w:rPr>
          <w:b/>
          <w:color w:val="auto"/>
          <w:sz w:val="28"/>
          <w:szCs w:val="28"/>
        </w:rPr>
      </w:pPr>
    </w:p>
    <w:p>
      <w:pPr>
        <w:spacing w:line="400" w:lineRule="exact"/>
        <w:ind w:firstLine="562" w:firstLineChars="200"/>
        <w:rPr>
          <w:b/>
          <w:color w:val="auto"/>
          <w:sz w:val="28"/>
          <w:szCs w:val="28"/>
        </w:rPr>
      </w:pPr>
    </w:p>
    <w:p>
      <w:pPr>
        <w:spacing w:line="400" w:lineRule="exact"/>
        <w:ind w:firstLine="562" w:firstLineChars="200"/>
        <w:rPr>
          <w:b/>
          <w:color w:val="auto"/>
          <w:sz w:val="28"/>
          <w:szCs w:val="28"/>
        </w:rPr>
      </w:pPr>
    </w:p>
    <w:p>
      <w:pPr>
        <w:spacing w:line="400" w:lineRule="exact"/>
        <w:ind w:firstLine="562" w:firstLineChars="200"/>
        <w:rPr>
          <w:b/>
          <w:color w:val="auto"/>
          <w:sz w:val="28"/>
          <w:szCs w:val="28"/>
        </w:rPr>
      </w:pPr>
    </w:p>
    <w:p>
      <w:pPr>
        <w:spacing w:line="400" w:lineRule="exact"/>
        <w:rPr>
          <w:b/>
          <w:color w:val="auto"/>
          <w:sz w:val="28"/>
          <w:szCs w:val="28"/>
        </w:rPr>
        <w:sectPr>
          <w:headerReference r:id="rId6" w:type="default"/>
          <w:footerReference r:id="rId7" w:type="default"/>
          <w:pgSz w:w="11906" w:h="16838"/>
          <w:pgMar w:top="1440" w:right="1800" w:bottom="1440" w:left="1800" w:header="851" w:footer="992" w:gutter="0"/>
          <w:cols w:space="720" w:num="1"/>
          <w:docGrid w:type="lines" w:linePitch="312" w:charSpace="0"/>
        </w:sectPr>
      </w:pPr>
    </w:p>
    <w:p>
      <w:pPr>
        <w:spacing w:line="360" w:lineRule="auto"/>
        <w:rPr>
          <w:b/>
          <w:color w:val="auto"/>
          <w:sz w:val="28"/>
          <w:szCs w:val="28"/>
        </w:rPr>
      </w:pPr>
      <w:r>
        <w:rPr>
          <w:rFonts w:hint="eastAsia"/>
          <w:b/>
          <w:color w:val="auto"/>
          <w:sz w:val="28"/>
          <w:szCs w:val="28"/>
        </w:rPr>
        <w:t>附件1</w:t>
      </w:r>
    </w:p>
    <w:p>
      <w:pPr>
        <w:spacing w:line="360" w:lineRule="auto"/>
        <w:ind w:left="720"/>
        <w:jc w:val="center"/>
        <w:rPr>
          <w:rFonts w:ascii="宋体"/>
          <w:b/>
          <w:color w:val="auto"/>
          <w:sz w:val="28"/>
          <w:szCs w:val="28"/>
        </w:rPr>
      </w:pPr>
      <w:r>
        <w:rPr>
          <w:rFonts w:hint="eastAsia"/>
          <w:b/>
          <w:color w:val="auto"/>
          <w:sz w:val="28"/>
          <w:szCs w:val="28"/>
        </w:rPr>
        <w:t>法定代表人身份证明或授权委托书</w:t>
      </w:r>
    </w:p>
    <w:p>
      <w:pPr>
        <w:pStyle w:val="224"/>
        <w:spacing w:before="312" w:beforeLines="100" w:after="312" w:afterLines="100" w:line="480" w:lineRule="exact"/>
        <w:ind w:firstLine="180" w:firstLineChars="75"/>
        <w:rPr>
          <w:rFonts w:ascii="宋体"/>
          <w:b/>
          <w:color w:val="auto"/>
          <w:sz w:val="24"/>
          <w:szCs w:val="24"/>
        </w:rPr>
      </w:pPr>
      <w:r>
        <w:rPr>
          <w:rFonts w:hint="eastAsia" w:ascii="宋体"/>
          <w:color w:val="auto"/>
          <w:sz w:val="24"/>
          <w:szCs w:val="24"/>
        </w:rPr>
        <w:t>1.法定代表人身份证明</w:t>
      </w:r>
    </w:p>
    <w:p>
      <w:pPr>
        <w:spacing w:line="480" w:lineRule="exact"/>
        <w:ind w:firstLine="480" w:firstLineChars="200"/>
        <w:rPr>
          <w:rFonts w:ascii="宋体"/>
          <w:color w:val="auto"/>
          <w:sz w:val="24"/>
        </w:rPr>
      </w:pPr>
      <w:r>
        <w:rPr>
          <w:rFonts w:hint="eastAsia" w:ascii="宋体"/>
          <w:color w:val="auto"/>
          <w:sz w:val="24"/>
        </w:rPr>
        <w:t>投标人名称：</w:t>
      </w:r>
      <w:r>
        <w:rPr>
          <w:rFonts w:hint="eastAsia" w:ascii="宋体"/>
          <w:color w:val="auto"/>
          <w:sz w:val="24"/>
          <w:u w:val="single"/>
        </w:rPr>
        <w:t xml:space="preserve">                                </w:t>
      </w:r>
      <w:r>
        <w:rPr>
          <w:rFonts w:hint="eastAsia" w:ascii="宋体"/>
          <w:color w:val="auto"/>
          <w:sz w:val="24"/>
        </w:rPr>
        <w:t xml:space="preserve"> </w:t>
      </w:r>
    </w:p>
    <w:p>
      <w:pPr>
        <w:spacing w:line="480" w:lineRule="exact"/>
        <w:ind w:firstLine="480" w:firstLineChars="200"/>
        <w:rPr>
          <w:rFonts w:ascii="宋体"/>
          <w:color w:val="auto"/>
          <w:sz w:val="24"/>
        </w:rPr>
      </w:pPr>
      <w:r>
        <w:rPr>
          <w:rFonts w:hint="eastAsia" w:ascii="宋体"/>
          <w:color w:val="auto"/>
          <w:sz w:val="24"/>
        </w:rPr>
        <w:t xml:space="preserve">单位性质： </w:t>
      </w:r>
      <w:r>
        <w:rPr>
          <w:rFonts w:hint="eastAsia" w:ascii="宋体"/>
          <w:color w:val="auto"/>
          <w:sz w:val="24"/>
          <w:u w:val="single"/>
        </w:rPr>
        <w:t xml:space="preserve">                                  </w:t>
      </w:r>
      <w:r>
        <w:rPr>
          <w:rFonts w:hint="eastAsia" w:ascii="宋体"/>
          <w:color w:val="auto"/>
          <w:sz w:val="24"/>
        </w:rPr>
        <w:t xml:space="preserve"> </w:t>
      </w:r>
    </w:p>
    <w:p>
      <w:pPr>
        <w:spacing w:line="480" w:lineRule="exact"/>
        <w:ind w:firstLine="480" w:firstLineChars="200"/>
        <w:rPr>
          <w:rFonts w:ascii="宋体"/>
          <w:color w:val="auto"/>
          <w:sz w:val="24"/>
        </w:rPr>
      </w:pPr>
      <w:r>
        <w:rPr>
          <w:rFonts w:hint="eastAsia" w:ascii="宋体"/>
          <w:color w:val="auto"/>
          <w:sz w:val="24"/>
        </w:rPr>
        <w:t>地    址：</w:t>
      </w:r>
      <w:r>
        <w:rPr>
          <w:rFonts w:hint="eastAsia" w:ascii="宋体"/>
          <w:color w:val="auto"/>
          <w:sz w:val="24"/>
          <w:u w:val="single"/>
        </w:rPr>
        <w:t xml:space="preserve">                                   </w:t>
      </w:r>
      <w:r>
        <w:rPr>
          <w:rFonts w:hint="eastAsia" w:ascii="宋体"/>
          <w:color w:val="auto"/>
          <w:sz w:val="24"/>
        </w:rPr>
        <w:t xml:space="preserve"> </w:t>
      </w:r>
    </w:p>
    <w:p>
      <w:pPr>
        <w:spacing w:line="480" w:lineRule="exact"/>
        <w:ind w:firstLine="480" w:firstLineChars="200"/>
        <w:rPr>
          <w:rFonts w:ascii="宋体"/>
          <w:color w:val="auto"/>
          <w:sz w:val="24"/>
        </w:rPr>
      </w:pPr>
      <w:r>
        <w:rPr>
          <w:rFonts w:hint="eastAsia" w:ascii="宋体"/>
          <w:color w:val="auto"/>
          <w:sz w:val="24"/>
        </w:rPr>
        <w:t>成立时间：</w:t>
      </w:r>
      <w:r>
        <w:rPr>
          <w:rFonts w:hint="eastAsia" w:ascii="宋体"/>
          <w:color w:val="auto"/>
          <w:sz w:val="24"/>
          <w:u w:val="single"/>
        </w:rPr>
        <w:t xml:space="preserve">        </w:t>
      </w:r>
      <w:r>
        <w:rPr>
          <w:rFonts w:hint="eastAsia" w:ascii="宋体"/>
          <w:color w:val="auto"/>
          <w:sz w:val="24"/>
        </w:rPr>
        <w:t>年</w:t>
      </w:r>
      <w:r>
        <w:rPr>
          <w:rFonts w:hint="eastAsia" w:ascii="宋体"/>
          <w:color w:val="auto"/>
          <w:sz w:val="24"/>
          <w:u w:val="single"/>
        </w:rPr>
        <w:t xml:space="preserve">    </w:t>
      </w:r>
      <w:r>
        <w:rPr>
          <w:rFonts w:hint="eastAsia" w:ascii="宋体"/>
          <w:color w:val="auto"/>
          <w:sz w:val="24"/>
        </w:rPr>
        <w:t>月</w:t>
      </w:r>
      <w:r>
        <w:rPr>
          <w:rFonts w:hint="eastAsia" w:ascii="宋体"/>
          <w:color w:val="auto"/>
          <w:sz w:val="24"/>
          <w:u w:val="single"/>
        </w:rPr>
        <w:t xml:space="preserve">    </w:t>
      </w:r>
      <w:r>
        <w:rPr>
          <w:rFonts w:hint="eastAsia" w:ascii="宋体"/>
          <w:color w:val="auto"/>
          <w:sz w:val="24"/>
        </w:rPr>
        <w:t>日</w:t>
      </w:r>
    </w:p>
    <w:p>
      <w:pPr>
        <w:spacing w:line="480" w:lineRule="exact"/>
        <w:ind w:firstLine="480" w:firstLineChars="200"/>
        <w:rPr>
          <w:rFonts w:ascii="宋体"/>
          <w:color w:val="auto"/>
          <w:sz w:val="24"/>
        </w:rPr>
      </w:pPr>
      <w:r>
        <w:rPr>
          <w:rFonts w:hint="eastAsia" w:ascii="宋体"/>
          <w:color w:val="auto"/>
          <w:sz w:val="24"/>
        </w:rPr>
        <w:t>经营期限：</w:t>
      </w:r>
      <w:r>
        <w:rPr>
          <w:rFonts w:hint="eastAsia" w:ascii="宋体"/>
          <w:color w:val="auto"/>
          <w:sz w:val="24"/>
          <w:u w:val="single"/>
        </w:rPr>
        <w:t xml:space="preserve">                                </w:t>
      </w:r>
      <w:r>
        <w:rPr>
          <w:rFonts w:hint="eastAsia" w:ascii="宋体"/>
          <w:color w:val="auto"/>
          <w:sz w:val="24"/>
        </w:rPr>
        <w:t xml:space="preserve"> </w:t>
      </w:r>
    </w:p>
    <w:p>
      <w:pPr>
        <w:spacing w:line="480" w:lineRule="exact"/>
        <w:ind w:firstLine="720" w:firstLineChars="100"/>
        <w:rPr>
          <w:rFonts w:ascii="宋体"/>
          <w:color w:val="auto"/>
          <w:sz w:val="24"/>
        </w:rPr>
      </w:pPr>
      <w:r>
        <w:rPr>
          <w:rFonts w:hint="eastAsia" w:ascii="宋体"/>
          <w:color w:val="auto"/>
          <w:spacing w:val="240"/>
          <w:sz w:val="24"/>
        </w:rPr>
        <w:t>姓</w:t>
      </w:r>
      <w:r>
        <w:rPr>
          <w:rFonts w:hint="eastAsia" w:ascii="宋体"/>
          <w:color w:val="auto"/>
          <w:sz w:val="24"/>
        </w:rPr>
        <w:t>名：</w:t>
      </w:r>
      <w:r>
        <w:rPr>
          <w:rFonts w:hint="eastAsia" w:ascii="宋体"/>
          <w:color w:val="auto"/>
          <w:sz w:val="24"/>
          <w:u w:val="single"/>
        </w:rPr>
        <w:t xml:space="preserve">           </w:t>
      </w:r>
      <w:r>
        <w:rPr>
          <w:rFonts w:hint="eastAsia" w:ascii="宋体"/>
          <w:color w:val="auto"/>
          <w:sz w:val="24"/>
        </w:rPr>
        <w:t>性别：</w:t>
      </w:r>
      <w:r>
        <w:rPr>
          <w:rFonts w:hint="eastAsia" w:ascii="宋体"/>
          <w:color w:val="auto"/>
          <w:sz w:val="24"/>
          <w:u w:val="single"/>
        </w:rPr>
        <w:t xml:space="preserve">        </w:t>
      </w:r>
      <w:r>
        <w:rPr>
          <w:rFonts w:hint="eastAsia" w:ascii="宋体"/>
          <w:color w:val="auto"/>
          <w:sz w:val="24"/>
        </w:rPr>
        <w:t>年龄：</w:t>
      </w:r>
      <w:r>
        <w:rPr>
          <w:rFonts w:hint="eastAsia" w:ascii="宋体"/>
          <w:color w:val="auto"/>
          <w:sz w:val="24"/>
          <w:u w:val="single"/>
        </w:rPr>
        <w:t xml:space="preserve">    </w:t>
      </w:r>
      <w:r>
        <w:rPr>
          <w:rFonts w:hint="eastAsia" w:ascii="宋体"/>
          <w:color w:val="auto"/>
          <w:sz w:val="24"/>
        </w:rPr>
        <w:t>职务：</w:t>
      </w:r>
      <w:r>
        <w:rPr>
          <w:rFonts w:hint="eastAsia" w:ascii="宋体"/>
          <w:color w:val="auto"/>
          <w:sz w:val="24"/>
          <w:u w:val="single"/>
        </w:rPr>
        <w:t xml:space="preserve">       </w:t>
      </w:r>
      <w:r>
        <w:rPr>
          <w:rFonts w:hint="eastAsia" w:ascii="宋体"/>
          <w:color w:val="auto"/>
          <w:sz w:val="24"/>
        </w:rPr>
        <w:t>_</w:t>
      </w:r>
    </w:p>
    <w:p>
      <w:pPr>
        <w:spacing w:line="480" w:lineRule="exact"/>
        <w:ind w:firstLine="480" w:firstLineChars="200"/>
        <w:rPr>
          <w:rFonts w:ascii="宋体"/>
          <w:color w:val="auto"/>
          <w:sz w:val="24"/>
        </w:rPr>
      </w:pPr>
      <w:r>
        <w:rPr>
          <w:rFonts w:hint="eastAsia" w:ascii="宋体"/>
          <w:color w:val="auto"/>
          <w:sz w:val="24"/>
        </w:rPr>
        <w:t>系</w:t>
      </w:r>
      <w:r>
        <w:rPr>
          <w:rFonts w:hint="eastAsia" w:ascii="宋体"/>
          <w:color w:val="auto"/>
          <w:sz w:val="24"/>
          <w:u w:val="single"/>
        </w:rPr>
        <w:t xml:space="preserve">                                </w:t>
      </w:r>
      <w:r>
        <w:rPr>
          <w:rFonts w:hint="eastAsia" w:ascii="宋体"/>
          <w:color w:val="auto"/>
          <w:sz w:val="24"/>
        </w:rPr>
        <w:t>（投标人名称）的法定代表人。</w:t>
      </w:r>
    </w:p>
    <w:p>
      <w:pPr>
        <w:spacing w:line="480" w:lineRule="exact"/>
        <w:ind w:firstLine="960" w:firstLineChars="400"/>
        <w:rPr>
          <w:rFonts w:ascii="宋体"/>
          <w:color w:val="auto"/>
          <w:sz w:val="24"/>
        </w:rPr>
      </w:pPr>
      <w:r>
        <w:rPr>
          <w:rFonts w:hint="eastAsia" w:ascii="宋体"/>
          <w:color w:val="auto"/>
          <w:sz w:val="24"/>
        </w:rPr>
        <w:t>特此证明。</w:t>
      </w:r>
    </w:p>
    <w:p>
      <w:pPr>
        <w:spacing w:line="360" w:lineRule="auto"/>
        <w:ind w:firstLine="3480" w:firstLineChars="1450"/>
        <w:rPr>
          <w:rFonts w:ascii="宋体"/>
          <w:color w:val="auto"/>
          <w:sz w:val="24"/>
        </w:rPr>
      </w:pPr>
      <w:r>
        <w:rPr>
          <w:rFonts w:hint="eastAsia" w:ascii="宋体"/>
          <w:color w:val="auto"/>
          <w:sz w:val="24"/>
        </w:rPr>
        <w:t>投标人：</w:t>
      </w:r>
      <w:r>
        <w:rPr>
          <w:rFonts w:hint="eastAsia" w:ascii="宋体"/>
          <w:color w:val="auto"/>
          <w:sz w:val="24"/>
          <w:u w:val="single"/>
        </w:rPr>
        <w:t xml:space="preserve">                 </w:t>
      </w:r>
      <w:r>
        <w:rPr>
          <w:rFonts w:hint="eastAsia" w:ascii="宋体"/>
          <w:color w:val="auto"/>
          <w:sz w:val="24"/>
        </w:rPr>
        <w:t>（盖单位章）</w:t>
      </w:r>
    </w:p>
    <w:p>
      <w:pPr>
        <w:wordWrap w:val="0"/>
        <w:spacing w:line="360" w:lineRule="auto"/>
        <w:jc w:val="right"/>
        <w:rPr>
          <w:color w:val="auto"/>
        </w:rPr>
      </w:pPr>
      <w:r>
        <w:rPr>
          <w:rFonts w:hint="eastAsia" w:ascii="宋体"/>
          <w:color w:val="auto"/>
          <w:sz w:val="24"/>
        </w:rPr>
        <w:t xml:space="preserve">                                        </w:t>
      </w:r>
      <w:r>
        <w:rPr>
          <w:rFonts w:hint="eastAsia" w:ascii="宋体"/>
          <w:color w:val="auto"/>
          <w:sz w:val="24"/>
          <w:u w:val="single"/>
        </w:rPr>
        <w:t xml:space="preserve">       </w:t>
      </w:r>
      <w:r>
        <w:rPr>
          <w:rFonts w:hint="eastAsia" w:ascii="宋体"/>
          <w:color w:val="auto"/>
          <w:sz w:val="24"/>
        </w:rPr>
        <w:t xml:space="preserve">年 </w:t>
      </w:r>
      <w:r>
        <w:rPr>
          <w:rFonts w:hint="eastAsia" w:ascii="宋体"/>
          <w:color w:val="auto"/>
          <w:sz w:val="24"/>
          <w:u w:val="single"/>
        </w:rPr>
        <w:t xml:space="preserve">    </w:t>
      </w:r>
      <w:r>
        <w:rPr>
          <w:rFonts w:hint="eastAsia" w:ascii="宋体"/>
          <w:color w:val="auto"/>
          <w:sz w:val="24"/>
        </w:rPr>
        <w:t>月</w:t>
      </w:r>
      <w:r>
        <w:rPr>
          <w:rFonts w:hint="eastAsia" w:ascii="宋体"/>
          <w:color w:val="auto"/>
          <w:sz w:val="24"/>
          <w:u w:val="single"/>
        </w:rPr>
        <w:t xml:space="preserve">     </w:t>
      </w:r>
      <w:r>
        <w:rPr>
          <w:rFonts w:hint="eastAsia" w:ascii="宋体"/>
          <w:color w:val="auto"/>
          <w:sz w:val="24"/>
        </w:rPr>
        <w:t xml:space="preserve">日  </w:t>
      </w:r>
    </w:p>
    <w:p>
      <w:pPr>
        <w:pStyle w:val="224"/>
        <w:spacing w:before="312" w:beforeLines="100" w:after="312" w:afterLines="100" w:line="480" w:lineRule="exact"/>
        <w:ind w:firstLine="180" w:firstLineChars="75"/>
        <w:rPr>
          <w:rFonts w:ascii="宋体"/>
          <w:color w:val="auto"/>
          <w:sz w:val="24"/>
          <w:szCs w:val="24"/>
        </w:rPr>
      </w:pPr>
      <w:r>
        <w:rPr>
          <w:rFonts w:hint="eastAsia" w:ascii="宋体"/>
          <w:color w:val="auto"/>
          <w:sz w:val="24"/>
          <w:szCs w:val="24"/>
        </w:rPr>
        <w:t>2.授权委托书</w:t>
      </w:r>
    </w:p>
    <w:p>
      <w:pPr>
        <w:spacing w:line="480" w:lineRule="exact"/>
        <w:ind w:firstLine="480" w:firstLineChars="200"/>
        <w:rPr>
          <w:rFonts w:ascii="宋体"/>
          <w:color w:val="auto"/>
          <w:sz w:val="24"/>
        </w:rPr>
      </w:pPr>
      <w:r>
        <w:rPr>
          <w:rFonts w:hint="eastAsia" w:ascii="宋体"/>
          <w:color w:val="auto"/>
          <w:sz w:val="24"/>
        </w:rPr>
        <w:t xml:space="preserve">本人 </w:t>
      </w:r>
      <w:r>
        <w:rPr>
          <w:rFonts w:hint="eastAsia" w:ascii="宋体"/>
          <w:color w:val="auto"/>
          <w:sz w:val="24"/>
          <w:u w:val="single"/>
        </w:rPr>
        <w:t xml:space="preserve">    </w:t>
      </w:r>
      <w:r>
        <w:rPr>
          <w:rFonts w:hint="eastAsia" w:ascii="宋体"/>
          <w:color w:val="auto"/>
          <w:sz w:val="24"/>
        </w:rPr>
        <w:t>（姓名）系</w:t>
      </w:r>
      <w:r>
        <w:rPr>
          <w:rFonts w:hint="eastAsia" w:ascii="宋体"/>
          <w:color w:val="auto"/>
          <w:sz w:val="24"/>
          <w:u w:val="single"/>
        </w:rPr>
        <w:t xml:space="preserve">       </w:t>
      </w:r>
      <w:r>
        <w:rPr>
          <w:rFonts w:hint="eastAsia" w:ascii="宋体"/>
          <w:color w:val="auto"/>
          <w:sz w:val="24"/>
        </w:rPr>
        <w:t>（投标人）的法定代表人，现委托</w:t>
      </w:r>
      <w:r>
        <w:rPr>
          <w:rFonts w:hint="eastAsia" w:ascii="宋体"/>
          <w:color w:val="auto"/>
          <w:sz w:val="24"/>
          <w:u w:val="single"/>
        </w:rPr>
        <w:t xml:space="preserve">   </w:t>
      </w:r>
      <w:r>
        <w:rPr>
          <w:rFonts w:hint="eastAsia" w:ascii="宋体"/>
          <w:color w:val="auto"/>
          <w:sz w:val="24"/>
        </w:rPr>
        <w:t>（姓名）为我方代理人。代理人根据授权，以我方名义签署、澄清、说明、补正、递交、撤回、修改 “</w:t>
      </w:r>
      <w:r>
        <w:rPr>
          <w:rFonts w:hint="eastAsia" w:ascii="宋体"/>
          <w:color w:val="auto"/>
          <w:sz w:val="24"/>
          <w:u w:val="single"/>
        </w:rPr>
        <w:t xml:space="preserve">      </w:t>
      </w:r>
      <w:r>
        <w:rPr>
          <w:rFonts w:hint="eastAsia" w:ascii="宋体"/>
          <w:color w:val="auto"/>
          <w:sz w:val="24"/>
        </w:rPr>
        <w:t xml:space="preserve"> ”(项目名称、编号）招标文件，全权处理与该项目投标、评审答疑、签订合同以及与合同执行有关的一切事务，其法律后果由我方承担。</w:t>
      </w:r>
    </w:p>
    <w:p>
      <w:pPr>
        <w:spacing w:line="480" w:lineRule="exact"/>
        <w:ind w:firstLine="480" w:firstLineChars="200"/>
        <w:rPr>
          <w:rFonts w:ascii="宋体"/>
          <w:color w:val="auto"/>
          <w:sz w:val="24"/>
        </w:rPr>
      </w:pPr>
      <w:r>
        <w:rPr>
          <w:rFonts w:hint="eastAsia" w:ascii="宋体"/>
          <w:color w:val="auto"/>
          <w:sz w:val="24"/>
        </w:rPr>
        <w:t>委托期限：</w:t>
      </w:r>
      <w:r>
        <w:rPr>
          <w:rFonts w:hint="eastAsia" w:ascii="宋体"/>
          <w:color w:val="auto"/>
          <w:sz w:val="24"/>
          <w:u w:val="single"/>
        </w:rPr>
        <w:t xml:space="preserve">      。</w:t>
      </w:r>
      <w:r>
        <w:rPr>
          <w:rFonts w:hint="eastAsia" w:ascii="宋体"/>
          <w:color w:val="auto"/>
          <w:sz w:val="24"/>
        </w:rPr>
        <w:t xml:space="preserve">                                </w:t>
      </w:r>
    </w:p>
    <w:p>
      <w:pPr>
        <w:spacing w:line="480" w:lineRule="exact"/>
        <w:ind w:firstLine="480" w:firstLineChars="200"/>
        <w:rPr>
          <w:rFonts w:ascii="宋体"/>
          <w:color w:val="auto"/>
          <w:sz w:val="24"/>
        </w:rPr>
      </w:pPr>
      <w:r>
        <w:rPr>
          <w:rFonts w:hint="eastAsia" w:ascii="宋体"/>
          <w:color w:val="auto"/>
          <w:sz w:val="24"/>
        </w:rPr>
        <w:t>代理人无转委托权。</w:t>
      </w:r>
    </w:p>
    <w:p>
      <w:pPr>
        <w:spacing w:line="480" w:lineRule="exact"/>
        <w:ind w:firstLine="482" w:firstLineChars="200"/>
        <w:rPr>
          <w:rFonts w:ascii="宋体"/>
          <w:b/>
          <w:bCs/>
          <w:color w:val="auto"/>
          <w:sz w:val="24"/>
        </w:rPr>
      </w:pPr>
      <w:r>
        <w:rPr>
          <w:rFonts w:hint="eastAsia" w:ascii="宋体"/>
          <w:b/>
          <w:bCs/>
          <w:color w:val="auto"/>
          <w:sz w:val="24"/>
        </w:rPr>
        <w:t>附：授权委托人有效身份证及法定代表人有效身份证</w:t>
      </w:r>
    </w:p>
    <w:p>
      <w:pPr>
        <w:spacing w:line="480" w:lineRule="exact"/>
        <w:ind w:firstLine="2280" w:firstLineChars="950"/>
        <w:rPr>
          <w:rFonts w:ascii="宋体"/>
          <w:color w:val="auto"/>
          <w:sz w:val="24"/>
        </w:rPr>
      </w:pPr>
      <w:r>
        <w:rPr>
          <w:rFonts w:hint="eastAsia" w:ascii="宋体"/>
          <w:color w:val="auto"/>
          <w:sz w:val="24"/>
        </w:rPr>
        <w:t xml:space="preserve">                 投标人：             （盖单位章）</w:t>
      </w:r>
    </w:p>
    <w:p>
      <w:pPr>
        <w:spacing w:line="480" w:lineRule="exact"/>
        <w:jc w:val="right"/>
        <w:rPr>
          <w:rFonts w:ascii="宋体"/>
          <w:color w:val="auto"/>
          <w:sz w:val="24"/>
        </w:rPr>
      </w:pPr>
      <w:r>
        <w:rPr>
          <w:rFonts w:hint="eastAsia" w:ascii="宋体"/>
          <w:color w:val="auto"/>
          <w:sz w:val="24"/>
        </w:rPr>
        <w:t>法定代表人（身份证号码）：             （签字或盖章）</w:t>
      </w:r>
    </w:p>
    <w:p>
      <w:pPr>
        <w:spacing w:line="480" w:lineRule="exact"/>
        <w:ind w:firstLine="2820" w:firstLineChars="1175"/>
        <w:rPr>
          <w:rFonts w:ascii="宋体"/>
          <w:color w:val="auto"/>
          <w:sz w:val="24"/>
        </w:rPr>
      </w:pPr>
      <w:r>
        <w:rPr>
          <w:rFonts w:hint="eastAsia" w:ascii="宋体"/>
          <w:color w:val="auto"/>
          <w:sz w:val="24"/>
        </w:rPr>
        <w:t xml:space="preserve">              年    月    日</w:t>
      </w:r>
    </w:p>
    <w:p>
      <w:pPr>
        <w:spacing w:line="360" w:lineRule="exact"/>
        <w:ind w:firstLine="413" w:firstLineChars="147"/>
        <w:rPr>
          <w:b/>
          <w:color w:val="auto"/>
          <w:sz w:val="28"/>
          <w:szCs w:val="28"/>
          <w:u w:val="single"/>
        </w:rPr>
      </w:pPr>
    </w:p>
    <w:p>
      <w:pPr>
        <w:spacing w:line="360" w:lineRule="exact"/>
        <w:ind w:firstLine="413" w:firstLineChars="147"/>
        <w:rPr>
          <w:b/>
          <w:color w:val="auto"/>
          <w:sz w:val="28"/>
          <w:szCs w:val="28"/>
          <w:u w:val="single"/>
        </w:rPr>
      </w:pPr>
    </w:p>
    <w:p>
      <w:pPr>
        <w:spacing w:line="360" w:lineRule="exact"/>
        <w:ind w:firstLine="443" w:firstLineChars="147"/>
        <w:rPr>
          <w:rFonts w:ascii="宋体"/>
          <w:b/>
          <w:color w:val="auto"/>
          <w:sz w:val="30"/>
          <w:szCs w:val="30"/>
        </w:rPr>
      </w:pPr>
      <w:r>
        <w:rPr>
          <w:rFonts w:hint="eastAsia" w:ascii="宋体"/>
          <w:b/>
          <w:color w:val="auto"/>
          <w:sz w:val="30"/>
          <w:szCs w:val="30"/>
        </w:rPr>
        <w:t>附件2</w:t>
      </w:r>
    </w:p>
    <w:p>
      <w:pPr>
        <w:spacing w:line="360" w:lineRule="auto"/>
        <w:jc w:val="center"/>
        <w:rPr>
          <w:b/>
          <w:color w:val="auto"/>
          <w:sz w:val="28"/>
          <w:szCs w:val="28"/>
        </w:rPr>
      </w:pPr>
      <w:bookmarkStart w:id="737" w:name="_Toc449028950"/>
      <w:bookmarkStart w:id="738" w:name="_Toc440443268"/>
      <w:r>
        <w:rPr>
          <w:rFonts w:hint="eastAsia"/>
          <w:b/>
          <w:color w:val="auto"/>
          <w:sz w:val="28"/>
          <w:szCs w:val="28"/>
        </w:rPr>
        <w:t>诚信投标承诺书 </w:t>
      </w:r>
    </w:p>
    <w:p>
      <w:pPr>
        <w:spacing w:line="500" w:lineRule="exact"/>
        <w:ind w:firstLine="420" w:firstLineChars="200"/>
        <w:rPr>
          <w:rFonts w:ascii="宋体" w:hAnsi="宋体"/>
          <w:color w:val="auto"/>
          <w:szCs w:val="21"/>
        </w:rPr>
      </w:pPr>
      <w:r>
        <w:rPr>
          <w:rFonts w:hint="eastAsia" w:ascii="宋体" w:hAnsi="宋体"/>
          <w:color w:val="auto"/>
          <w:szCs w:val="21"/>
        </w:rPr>
        <w:t>本人以企业法定代表人的身份郑重承诺：</w:t>
      </w:r>
    </w:p>
    <w:p>
      <w:pPr>
        <w:spacing w:line="500" w:lineRule="exact"/>
        <w:ind w:firstLine="420" w:firstLineChars="200"/>
        <w:rPr>
          <w:rFonts w:ascii="宋体" w:hAnsi="宋体"/>
          <w:color w:val="auto"/>
          <w:szCs w:val="21"/>
        </w:rPr>
      </w:pPr>
      <w:r>
        <w:rPr>
          <w:rFonts w:hint="eastAsia" w:ascii="宋体" w:hAnsi="宋体"/>
          <w:color w:val="auto"/>
          <w:szCs w:val="21"/>
        </w:rPr>
        <w:t>一、将遵循公开、公正和诚实信用的原则自愿参加</w:t>
      </w:r>
      <w:r>
        <w:rPr>
          <w:rFonts w:hint="eastAsia" w:ascii="宋体" w:hAnsi="宋体"/>
          <w:color w:val="auto"/>
          <w:szCs w:val="21"/>
          <w:u w:val="single"/>
        </w:rPr>
        <w:t xml:space="preserve">                   </w:t>
      </w:r>
      <w:r>
        <w:rPr>
          <w:rFonts w:hint="eastAsia" w:ascii="宋体" w:hAnsi="宋体"/>
          <w:color w:val="auto"/>
          <w:szCs w:val="21"/>
        </w:rPr>
        <w:t>项目的投标，所提供的一切材料都是真实、有效、合法的；</w:t>
      </w:r>
    </w:p>
    <w:p>
      <w:pPr>
        <w:spacing w:line="500" w:lineRule="exact"/>
        <w:ind w:firstLine="420" w:firstLineChars="200"/>
        <w:rPr>
          <w:rFonts w:ascii="宋体" w:hAnsi="宋体"/>
          <w:color w:val="auto"/>
          <w:szCs w:val="21"/>
        </w:rPr>
      </w:pPr>
      <w:r>
        <w:rPr>
          <w:rFonts w:hint="eastAsia" w:ascii="宋体" w:hAnsi="宋体"/>
          <w:color w:val="auto"/>
          <w:szCs w:val="21"/>
        </w:rPr>
        <w:t>二、本单位郑重声明，根据《中华人民共和国招标投标法》及《中华人民共和国招标投标法实施条例》的规定，我公司具有良好的商业信誉和健全的财务会计制度，具有履行合同所必需的设备和专业技术能力，有依法缴纳税收和社会保障资金的良好记录；参加招投标活动前三年内，本单位在经营活动中没有重大违法记录，没有因违法经营受到刑事处罚或者责令停产停业、吊销许可证或者执照、较大数额罚款等行政处罚。</w:t>
      </w:r>
    </w:p>
    <w:p>
      <w:pPr>
        <w:spacing w:line="500" w:lineRule="exact"/>
        <w:ind w:firstLine="420" w:firstLineChars="200"/>
        <w:rPr>
          <w:rFonts w:ascii="宋体" w:hAnsi="宋体"/>
          <w:color w:val="auto"/>
          <w:szCs w:val="21"/>
        </w:rPr>
      </w:pPr>
      <w:r>
        <w:rPr>
          <w:rFonts w:hint="eastAsia" w:ascii="宋体" w:hAnsi="宋体"/>
          <w:color w:val="auto"/>
          <w:szCs w:val="21"/>
        </w:rPr>
        <w:t>三、不出借、转让资质证书，不让他人挂靠投标，不以他人名义投标或者以其他方式弄虚作假，骗取中标；</w:t>
      </w:r>
    </w:p>
    <w:p>
      <w:pPr>
        <w:spacing w:line="500" w:lineRule="exact"/>
        <w:ind w:firstLine="420" w:firstLineChars="200"/>
        <w:rPr>
          <w:rFonts w:ascii="宋体" w:hAnsi="宋体"/>
          <w:color w:val="auto"/>
          <w:szCs w:val="21"/>
        </w:rPr>
      </w:pPr>
      <w:r>
        <w:rPr>
          <w:rFonts w:hint="eastAsia" w:ascii="宋体" w:hAnsi="宋体"/>
          <w:color w:val="auto"/>
          <w:szCs w:val="21"/>
        </w:rPr>
        <w:t>四、不与其他投标人相互串通投标报价，不排挤其他投标人的公平竞争、损害采购人的合法权益；</w:t>
      </w:r>
    </w:p>
    <w:p>
      <w:pPr>
        <w:spacing w:line="500" w:lineRule="exact"/>
        <w:ind w:firstLine="420" w:firstLineChars="200"/>
        <w:rPr>
          <w:rFonts w:ascii="宋体" w:hAnsi="宋体"/>
          <w:color w:val="auto"/>
          <w:szCs w:val="21"/>
        </w:rPr>
      </w:pPr>
      <w:r>
        <w:rPr>
          <w:rFonts w:hint="eastAsia" w:ascii="宋体" w:hAnsi="宋体"/>
          <w:color w:val="auto"/>
          <w:szCs w:val="21"/>
        </w:rPr>
        <w:t>五、不与采购人、招标代理机构或其他投标人串通投标，损害国家利益、社会公共利益或者他人的合法权益；</w:t>
      </w:r>
    </w:p>
    <w:p>
      <w:pPr>
        <w:spacing w:line="500" w:lineRule="exact"/>
        <w:ind w:firstLine="420" w:firstLineChars="200"/>
        <w:rPr>
          <w:rFonts w:ascii="宋体" w:hAnsi="宋体"/>
          <w:color w:val="auto"/>
          <w:szCs w:val="21"/>
        </w:rPr>
      </w:pPr>
      <w:r>
        <w:rPr>
          <w:rFonts w:hint="eastAsia" w:ascii="宋体" w:hAnsi="宋体"/>
          <w:color w:val="auto"/>
          <w:szCs w:val="21"/>
        </w:rPr>
        <w:t>六、我公司没有下列情形：1、被人民法院列入失信被执行人的；2、我公司及其法定代表人、拟任项目经理（建造师）前三年有行贿犯罪行为的；3、被市场监督管理部门列入经营异常名录或者严重违法企业名单的；4、被税务部门列入重大税收违法案件当事人的；5、被监管部门列入严重违法失信行为记录名单的；6、在“信用中国”网站上披露仍在公示期的严重失信行为的；7、参与招投标活动前3年在经营活动中有重大违法记录的。</w:t>
      </w:r>
    </w:p>
    <w:p>
      <w:pPr>
        <w:spacing w:line="500" w:lineRule="exact"/>
        <w:ind w:firstLine="420" w:firstLineChars="200"/>
        <w:rPr>
          <w:rFonts w:ascii="宋体" w:hAnsi="宋体"/>
          <w:color w:val="auto"/>
          <w:szCs w:val="21"/>
        </w:rPr>
      </w:pPr>
      <w:r>
        <w:rPr>
          <w:rFonts w:hint="eastAsia" w:ascii="宋体" w:hAnsi="宋体"/>
          <w:color w:val="auto"/>
          <w:szCs w:val="21"/>
        </w:rPr>
        <w:t>七、严格遵守开标现场纪律，服从监管人员管理；</w:t>
      </w:r>
    </w:p>
    <w:p>
      <w:pPr>
        <w:spacing w:line="500" w:lineRule="exact"/>
        <w:ind w:firstLine="420" w:firstLineChars="200"/>
        <w:rPr>
          <w:rFonts w:ascii="宋体" w:hAnsi="宋体"/>
          <w:color w:val="auto"/>
          <w:szCs w:val="21"/>
        </w:rPr>
      </w:pPr>
      <w:r>
        <w:rPr>
          <w:rFonts w:hint="eastAsia" w:ascii="宋体" w:hAnsi="宋体"/>
          <w:color w:val="auto"/>
          <w:szCs w:val="21"/>
        </w:rPr>
        <w:t>八、保证中标后不转包，若有分包征得采购人同意；</w:t>
      </w:r>
    </w:p>
    <w:p>
      <w:pPr>
        <w:spacing w:line="500" w:lineRule="exact"/>
        <w:ind w:firstLine="420" w:firstLineChars="200"/>
        <w:rPr>
          <w:rFonts w:ascii="宋体" w:hAnsi="宋体"/>
          <w:color w:val="auto"/>
          <w:szCs w:val="21"/>
        </w:rPr>
      </w:pPr>
      <w:r>
        <w:rPr>
          <w:rFonts w:hint="eastAsia" w:ascii="宋体" w:hAnsi="宋体"/>
          <w:color w:val="auto"/>
          <w:szCs w:val="21"/>
        </w:rPr>
        <w:t>九、保证中标之后，按照投标文件要求提供相关后续服务；</w:t>
      </w:r>
    </w:p>
    <w:p>
      <w:pPr>
        <w:spacing w:line="500" w:lineRule="exact"/>
        <w:ind w:firstLine="420" w:firstLineChars="200"/>
        <w:rPr>
          <w:rFonts w:ascii="宋体" w:hAnsi="宋体"/>
          <w:color w:val="auto"/>
          <w:szCs w:val="21"/>
        </w:rPr>
      </w:pPr>
      <w:r>
        <w:rPr>
          <w:rFonts w:hint="eastAsia" w:ascii="宋体" w:hAnsi="宋体"/>
          <w:color w:val="auto"/>
          <w:szCs w:val="21"/>
        </w:rPr>
        <w:t>十、保证企业及所属相关人员在本次投标中无行贿等犯罪行为；</w:t>
      </w:r>
    </w:p>
    <w:p>
      <w:pPr>
        <w:spacing w:line="500" w:lineRule="exact"/>
        <w:ind w:firstLine="420" w:firstLineChars="200"/>
        <w:rPr>
          <w:rFonts w:ascii="宋体" w:hAnsi="宋体"/>
          <w:color w:val="auto"/>
          <w:szCs w:val="21"/>
        </w:rPr>
      </w:pPr>
      <w:r>
        <w:rPr>
          <w:rFonts w:hint="eastAsia" w:ascii="宋体" w:hAnsi="宋体"/>
          <w:color w:val="auto"/>
          <w:szCs w:val="21"/>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pPr>
        <w:spacing w:line="500" w:lineRule="exact"/>
        <w:ind w:firstLine="420" w:firstLineChars="200"/>
        <w:rPr>
          <w:rFonts w:ascii="宋体" w:hAnsi="宋体"/>
          <w:color w:val="auto"/>
          <w:szCs w:val="21"/>
        </w:rPr>
      </w:pPr>
      <w:r>
        <w:rPr>
          <w:rFonts w:hint="eastAsia" w:ascii="宋体" w:hAnsi="宋体"/>
          <w:color w:val="auto"/>
          <w:szCs w:val="21"/>
        </w:rPr>
        <w:t>以上内容我已仔细阅读，本公司若有违反承诺内容的行为，自愿接受取消投标或者中标资格、记入不良行为记录等有关处理，愿意承担法律责任，给采购人造成损失的，依法承担赔偿责任。</w:t>
      </w:r>
    </w:p>
    <w:p>
      <w:pPr>
        <w:spacing w:line="500" w:lineRule="exact"/>
        <w:ind w:firstLine="420" w:firstLineChars="200"/>
        <w:rPr>
          <w:rFonts w:ascii="宋体" w:hAnsi="宋体"/>
          <w:color w:val="auto"/>
          <w:szCs w:val="21"/>
        </w:rPr>
      </w:pPr>
      <w:r>
        <w:rPr>
          <w:rFonts w:hint="eastAsia" w:ascii="宋体" w:hAnsi="宋体"/>
          <w:color w:val="auto"/>
          <w:szCs w:val="21"/>
        </w:rPr>
        <w:t> </w:t>
      </w:r>
    </w:p>
    <w:p>
      <w:pPr>
        <w:spacing w:line="500" w:lineRule="exact"/>
        <w:ind w:firstLine="420" w:firstLineChars="200"/>
        <w:rPr>
          <w:rFonts w:ascii="宋体" w:hAnsi="宋体"/>
          <w:color w:val="auto"/>
          <w:szCs w:val="21"/>
        </w:rPr>
      </w:pPr>
      <w:r>
        <w:rPr>
          <w:rFonts w:hint="eastAsia" w:ascii="宋体" w:hAnsi="宋体"/>
          <w:color w:val="auto"/>
          <w:szCs w:val="21"/>
        </w:rPr>
        <w:t>开户银行：                          基本账户：</w:t>
      </w:r>
    </w:p>
    <w:p>
      <w:pPr>
        <w:spacing w:line="500" w:lineRule="exact"/>
        <w:ind w:firstLine="420" w:firstLineChars="200"/>
        <w:rPr>
          <w:rFonts w:ascii="宋体" w:hAnsi="宋体"/>
          <w:color w:val="auto"/>
          <w:szCs w:val="21"/>
        </w:rPr>
      </w:pPr>
      <w:r>
        <w:rPr>
          <w:rFonts w:hint="eastAsia" w:ascii="宋体" w:hAnsi="宋体"/>
          <w:color w:val="auto"/>
          <w:szCs w:val="21"/>
        </w:rPr>
        <w:t>投标单位（盖单位章）：          法定代表人（签字或盖章）：</w:t>
      </w:r>
    </w:p>
    <w:p>
      <w:pPr>
        <w:spacing w:line="500" w:lineRule="exact"/>
        <w:ind w:firstLine="420" w:firstLineChars="200"/>
        <w:rPr>
          <w:rFonts w:ascii="宋体" w:hAnsi="宋体"/>
          <w:color w:val="auto"/>
          <w:szCs w:val="21"/>
        </w:rPr>
      </w:pPr>
    </w:p>
    <w:p>
      <w:pPr>
        <w:spacing w:line="360" w:lineRule="auto"/>
        <w:jc w:val="center"/>
        <w:rPr>
          <w:b/>
          <w:color w:val="auto"/>
          <w:sz w:val="28"/>
          <w:szCs w:val="28"/>
        </w:rPr>
      </w:pPr>
      <w:r>
        <w:rPr>
          <w:rFonts w:hint="eastAsia" w:ascii="宋体" w:hAnsi="宋体"/>
          <w:color w:val="auto"/>
          <w:szCs w:val="21"/>
        </w:rPr>
        <w:t>日期：</w:t>
      </w:r>
      <w:r>
        <w:rPr>
          <w:rFonts w:ascii="宋体" w:hAnsi="宋体"/>
          <w:color w:val="auto"/>
          <w:szCs w:val="21"/>
          <w:u w:val="single"/>
        </w:rPr>
        <w:t xml:space="preserve">           </w:t>
      </w:r>
      <w:r>
        <w:rPr>
          <w:rFonts w:hint="eastAsia" w:ascii="宋体" w:hAnsi="宋体"/>
          <w:color w:val="auto"/>
          <w:szCs w:val="21"/>
        </w:rPr>
        <w:t>年</w:t>
      </w:r>
      <w:r>
        <w:rPr>
          <w:rFonts w:ascii="宋体" w:hAnsi="宋体"/>
          <w:color w:val="auto"/>
          <w:szCs w:val="21"/>
        </w:rPr>
        <w:t xml:space="preserve"> </w:t>
      </w:r>
      <w:r>
        <w:rPr>
          <w:rFonts w:ascii="宋体" w:hAnsi="宋体"/>
          <w:color w:val="auto"/>
          <w:szCs w:val="21"/>
          <w:u w:val="single"/>
        </w:rPr>
        <w:t xml:space="preserve">           </w:t>
      </w:r>
      <w:r>
        <w:rPr>
          <w:rFonts w:hint="eastAsia" w:ascii="宋体" w:hAnsi="宋体"/>
          <w:color w:val="auto"/>
          <w:szCs w:val="21"/>
        </w:rPr>
        <w:t>月</w:t>
      </w:r>
      <w:r>
        <w:rPr>
          <w:rFonts w:ascii="宋体" w:hAnsi="宋体"/>
          <w:color w:val="auto"/>
          <w:szCs w:val="21"/>
        </w:rPr>
        <w:t xml:space="preserve"> </w:t>
      </w:r>
      <w:r>
        <w:rPr>
          <w:rFonts w:ascii="宋体" w:hAnsi="宋体"/>
          <w:color w:val="auto"/>
          <w:szCs w:val="21"/>
          <w:u w:val="single"/>
        </w:rPr>
        <w:t xml:space="preserve">            </w:t>
      </w:r>
      <w:r>
        <w:rPr>
          <w:rFonts w:hint="eastAsia" w:ascii="宋体" w:hAnsi="宋体"/>
          <w:color w:val="auto"/>
          <w:szCs w:val="21"/>
        </w:rPr>
        <w:t>日</w:t>
      </w:r>
    </w:p>
    <w:p>
      <w:pPr>
        <w:spacing w:line="360" w:lineRule="auto"/>
        <w:jc w:val="center"/>
        <w:rPr>
          <w:b/>
          <w:color w:val="auto"/>
          <w:sz w:val="28"/>
          <w:szCs w:val="28"/>
        </w:rPr>
      </w:pPr>
    </w:p>
    <w:p>
      <w:pPr>
        <w:spacing w:line="360" w:lineRule="auto"/>
        <w:jc w:val="center"/>
        <w:rPr>
          <w:b/>
          <w:color w:val="auto"/>
          <w:sz w:val="28"/>
          <w:szCs w:val="28"/>
        </w:rPr>
      </w:pPr>
    </w:p>
    <w:p>
      <w:pPr>
        <w:pStyle w:val="17"/>
        <w:rPr>
          <w:color w:val="auto"/>
          <w:sz w:val="28"/>
          <w:szCs w:val="28"/>
        </w:rPr>
      </w:pPr>
    </w:p>
    <w:p>
      <w:pPr>
        <w:pStyle w:val="17"/>
        <w:rPr>
          <w:color w:val="auto"/>
          <w:sz w:val="28"/>
          <w:szCs w:val="28"/>
        </w:rPr>
      </w:pPr>
    </w:p>
    <w:p>
      <w:pPr>
        <w:pStyle w:val="17"/>
        <w:rPr>
          <w:color w:val="auto"/>
          <w:sz w:val="28"/>
          <w:szCs w:val="28"/>
        </w:rPr>
      </w:pPr>
    </w:p>
    <w:p>
      <w:pPr>
        <w:pStyle w:val="17"/>
        <w:rPr>
          <w:color w:val="auto"/>
          <w:sz w:val="28"/>
          <w:szCs w:val="28"/>
        </w:rPr>
      </w:pPr>
    </w:p>
    <w:p>
      <w:pPr>
        <w:pStyle w:val="17"/>
        <w:rPr>
          <w:color w:val="auto"/>
          <w:sz w:val="28"/>
          <w:szCs w:val="28"/>
        </w:rPr>
      </w:pPr>
    </w:p>
    <w:p>
      <w:pPr>
        <w:pStyle w:val="17"/>
        <w:rPr>
          <w:color w:val="auto"/>
          <w:sz w:val="28"/>
          <w:szCs w:val="28"/>
        </w:rPr>
      </w:pPr>
    </w:p>
    <w:p>
      <w:pPr>
        <w:pStyle w:val="17"/>
        <w:rPr>
          <w:color w:val="auto"/>
          <w:sz w:val="28"/>
          <w:szCs w:val="28"/>
        </w:rPr>
      </w:pPr>
    </w:p>
    <w:p>
      <w:pPr>
        <w:pStyle w:val="17"/>
        <w:rPr>
          <w:color w:val="auto"/>
          <w:sz w:val="28"/>
          <w:szCs w:val="28"/>
        </w:rPr>
      </w:pPr>
    </w:p>
    <w:p>
      <w:pPr>
        <w:pStyle w:val="17"/>
        <w:rPr>
          <w:color w:val="auto"/>
          <w:sz w:val="28"/>
          <w:szCs w:val="28"/>
        </w:rPr>
      </w:pPr>
    </w:p>
    <w:p>
      <w:pPr>
        <w:pStyle w:val="50"/>
        <w:rPr>
          <w:color w:val="auto"/>
        </w:rPr>
      </w:pPr>
    </w:p>
    <w:p>
      <w:pPr>
        <w:spacing w:line="312" w:lineRule="auto"/>
        <w:jc w:val="center"/>
        <w:rPr>
          <w:rFonts w:ascii="宋体"/>
          <w:b/>
          <w:color w:val="auto"/>
          <w:sz w:val="30"/>
          <w:szCs w:val="30"/>
        </w:rPr>
      </w:pPr>
    </w:p>
    <w:bookmarkEnd w:id="737"/>
    <w:bookmarkEnd w:id="738"/>
    <w:p>
      <w:pPr>
        <w:wordWrap w:val="0"/>
        <w:spacing w:before="100" w:beforeAutospacing="1" w:after="100" w:afterAutospacing="1"/>
        <w:jc w:val="center"/>
        <w:rPr>
          <w:rFonts w:ascii="宋体" w:hAnsi="宋体"/>
          <w:b/>
          <w:color w:val="auto"/>
          <w:sz w:val="28"/>
          <w:szCs w:val="28"/>
        </w:rPr>
      </w:pPr>
    </w:p>
    <w:p>
      <w:pPr>
        <w:jc w:val="center"/>
        <w:rPr>
          <w:rFonts w:ascii="宋体"/>
          <w:color w:val="auto"/>
          <w:sz w:val="24"/>
        </w:rPr>
      </w:pPr>
      <w:r>
        <w:rPr>
          <w:rFonts w:hint="eastAsia" w:ascii="宋体" w:hAnsi="宋体"/>
          <w:b/>
          <w:color w:val="auto"/>
          <w:sz w:val="28"/>
          <w:szCs w:val="28"/>
          <w:lang w:val="en-US" w:eastAsia="zh-CN"/>
        </w:rPr>
        <w:t>二</w:t>
      </w:r>
      <w:r>
        <w:rPr>
          <w:rFonts w:hint="eastAsia" w:ascii="宋体" w:hAnsi="宋体"/>
          <w:b/>
          <w:color w:val="auto"/>
          <w:sz w:val="28"/>
          <w:szCs w:val="28"/>
        </w:rPr>
        <w:t>、商务标格式文件</w:t>
      </w:r>
    </w:p>
    <w:p>
      <w:pPr>
        <w:jc w:val="center"/>
        <w:rPr>
          <w:rFonts w:eastAsia="黑体"/>
          <w:color w:val="auto"/>
          <w:sz w:val="20"/>
        </w:rPr>
      </w:pPr>
    </w:p>
    <w:p>
      <w:pPr>
        <w:rPr>
          <w:rFonts w:ascii="宋体"/>
          <w:color w:val="auto"/>
          <w:sz w:val="20"/>
        </w:rPr>
      </w:pPr>
    </w:p>
    <w:p>
      <w:pPr>
        <w:rPr>
          <w:rFonts w:ascii="宋体"/>
          <w:color w:val="auto"/>
          <w:sz w:val="20"/>
        </w:rPr>
      </w:pPr>
    </w:p>
    <w:p>
      <w:pPr>
        <w:pStyle w:val="50"/>
        <w:rPr>
          <w:color w:val="auto"/>
        </w:rPr>
      </w:pPr>
    </w:p>
    <w:p>
      <w:pPr>
        <w:jc w:val="center"/>
        <w:rPr>
          <w:rFonts w:ascii="宋体"/>
          <w:b/>
          <w:color w:val="auto"/>
          <w:sz w:val="44"/>
          <w:szCs w:val="44"/>
        </w:rPr>
      </w:pPr>
      <w:bookmarkStart w:id="739" w:name="_Toc449028954"/>
      <w:r>
        <w:rPr>
          <w:rFonts w:hint="eastAsia" w:ascii="宋体"/>
          <w:b/>
          <w:color w:val="auto"/>
          <w:sz w:val="44"/>
          <w:szCs w:val="44"/>
        </w:rPr>
        <w:t>商务标</w:t>
      </w:r>
      <w:bookmarkEnd w:id="739"/>
    </w:p>
    <w:p>
      <w:pPr>
        <w:jc w:val="center"/>
        <w:rPr>
          <w:rFonts w:ascii="宋体"/>
          <w:color w:val="auto"/>
          <w:sz w:val="36"/>
          <w:szCs w:val="36"/>
        </w:rPr>
      </w:pPr>
      <w:r>
        <w:rPr>
          <w:rFonts w:hint="eastAsia" w:ascii="宋体"/>
          <w:color w:val="auto"/>
          <w:sz w:val="44"/>
          <w:szCs w:val="44"/>
        </w:rPr>
        <w:t>（</w:t>
      </w:r>
      <w:r>
        <w:rPr>
          <w:rFonts w:hint="eastAsia" w:ascii="宋体"/>
          <w:color w:val="auto"/>
          <w:sz w:val="36"/>
          <w:szCs w:val="36"/>
        </w:rPr>
        <w:t>投标文件</w:t>
      </w:r>
      <w:r>
        <w:rPr>
          <w:rFonts w:hint="eastAsia" w:ascii="宋体"/>
          <w:color w:val="auto"/>
          <w:sz w:val="36"/>
          <w:szCs w:val="36"/>
          <w:lang w:val="en-US" w:eastAsia="zh-CN"/>
        </w:rPr>
        <w:t>二</w:t>
      </w:r>
      <w:r>
        <w:rPr>
          <w:rFonts w:hint="eastAsia" w:ascii="宋体"/>
          <w:color w:val="auto"/>
          <w:sz w:val="36"/>
          <w:szCs w:val="36"/>
        </w:rPr>
        <w:t>）</w:t>
      </w:r>
    </w:p>
    <w:p>
      <w:pPr>
        <w:jc w:val="center"/>
        <w:rPr>
          <w:rFonts w:ascii="宋体"/>
          <w:color w:val="auto"/>
          <w:sz w:val="36"/>
          <w:szCs w:val="36"/>
        </w:rPr>
      </w:pPr>
    </w:p>
    <w:p>
      <w:pPr>
        <w:jc w:val="center"/>
        <w:rPr>
          <w:rFonts w:ascii="宋体"/>
          <w:color w:val="auto"/>
          <w:sz w:val="32"/>
          <w:szCs w:val="32"/>
        </w:rPr>
      </w:pPr>
      <w:r>
        <w:rPr>
          <w:rFonts w:hint="eastAsia" w:ascii="宋体"/>
          <w:color w:val="auto"/>
          <w:sz w:val="32"/>
          <w:szCs w:val="32"/>
          <w:u w:val="single"/>
        </w:rPr>
        <w:t xml:space="preserve">        </w:t>
      </w:r>
      <w:r>
        <w:rPr>
          <w:rFonts w:hint="eastAsia" w:ascii="宋体"/>
          <w:color w:val="auto"/>
          <w:sz w:val="32"/>
          <w:szCs w:val="32"/>
        </w:rPr>
        <w:t>项目</w:t>
      </w:r>
    </w:p>
    <w:p>
      <w:pPr>
        <w:jc w:val="center"/>
        <w:rPr>
          <w:rFonts w:ascii="宋体"/>
          <w:color w:val="auto"/>
          <w:sz w:val="44"/>
          <w:szCs w:val="44"/>
        </w:rPr>
      </w:pPr>
      <w:r>
        <w:rPr>
          <w:rFonts w:hint="eastAsia" w:ascii="宋体"/>
          <w:color w:val="auto"/>
          <w:sz w:val="28"/>
          <w:szCs w:val="28"/>
        </w:rPr>
        <w:t>项目编号</w:t>
      </w:r>
      <w:r>
        <w:rPr>
          <w:rFonts w:hint="eastAsia" w:ascii="宋体"/>
          <w:color w:val="auto"/>
          <w:sz w:val="28"/>
          <w:szCs w:val="28"/>
          <w:u w:val="single"/>
        </w:rPr>
        <w:t xml:space="preserve">  </w:t>
      </w:r>
    </w:p>
    <w:p>
      <w:pPr>
        <w:rPr>
          <w:rFonts w:ascii="宋体"/>
          <w:color w:val="auto"/>
          <w:sz w:val="28"/>
          <w:szCs w:val="28"/>
        </w:rPr>
      </w:pPr>
    </w:p>
    <w:p>
      <w:pPr>
        <w:rPr>
          <w:rFonts w:ascii="宋体"/>
          <w:color w:val="auto"/>
          <w:sz w:val="28"/>
          <w:szCs w:val="28"/>
        </w:rPr>
      </w:pPr>
    </w:p>
    <w:p>
      <w:pPr>
        <w:rPr>
          <w:rFonts w:ascii="宋体"/>
          <w:color w:val="auto"/>
          <w:sz w:val="28"/>
          <w:szCs w:val="28"/>
        </w:rPr>
      </w:pPr>
    </w:p>
    <w:p>
      <w:pPr>
        <w:rPr>
          <w:rFonts w:ascii="宋体"/>
          <w:color w:val="auto"/>
          <w:sz w:val="28"/>
          <w:szCs w:val="28"/>
        </w:rPr>
      </w:pPr>
    </w:p>
    <w:p>
      <w:pPr>
        <w:rPr>
          <w:rFonts w:ascii="宋体"/>
          <w:color w:val="auto"/>
          <w:sz w:val="28"/>
          <w:szCs w:val="28"/>
        </w:rPr>
      </w:pPr>
    </w:p>
    <w:p>
      <w:pPr>
        <w:rPr>
          <w:rFonts w:ascii="宋体"/>
          <w:color w:val="auto"/>
          <w:sz w:val="28"/>
          <w:szCs w:val="28"/>
        </w:rPr>
      </w:pPr>
    </w:p>
    <w:p>
      <w:pPr>
        <w:rPr>
          <w:rFonts w:ascii="宋体"/>
          <w:color w:val="auto"/>
          <w:sz w:val="28"/>
          <w:szCs w:val="28"/>
        </w:rPr>
      </w:pPr>
    </w:p>
    <w:p>
      <w:pPr>
        <w:jc w:val="center"/>
        <w:rPr>
          <w:rFonts w:ascii="宋体"/>
          <w:color w:val="auto"/>
          <w:sz w:val="28"/>
          <w:szCs w:val="28"/>
          <w:u w:val="single"/>
        </w:rPr>
      </w:pPr>
      <w:r>
        <w:rPr>
          <w:rFonts w:hint="eastAsia" w:ascii="宋体"/>
          <w:color w:val="auto"/>
          <w:sz w:val="28"/>
          <w:szCs w:val="28"/>
        </w:rPr>
        <w:t>投标人：</w:t>
      </w:r>
      <w:r>
        <w:rPr>
          <w:rFonts w:hint="eastAsia" w:ascii="宋体"/>
          <w:color w:val="auto"/>
          <w:sz w:val="28"/>
          <w:szCs w:val="28"/>
          <w:u w:val="single"/>
        </w:rPr>
        <w:t xml:space="preserve">                              </w:t>
      </w:r>
      <w:r>
        <w:rPr>
          <w:rFonts w:hint="eastAsia" w:ascii="宋体"/>
          <w:color w:val="auto"/>
          <w:sz w:val="28"/>
          <w:szCs w:val="28"/>
        </w:rPr>
        <w:t>（盖单位章）</w:t>
      </w:r>
    </w:p>
    <w:p>
      <w:pPr>
        <w:ind w:firstLine="700" w:firstLineChars="250"/>
        <w:rPr>
          <w:rFonts w:ascii="宋体"/>
          <w:color w:val="auto"/>
          <w:sz w:val="28"/>
          <w:szCs w:val="28"/>
        </w:rPr>
      </w:pPr>
      <w:r>
        <w:rPr>
          <w:rFonts w:hint="eastAsia" w:ascii="宋体"/>
          <w:color w:val="auto"/>
          <w:sz w:val="28"/>
          <w:szCs w:val="28"/>
        </w:rPr>
        <w:t>法定代表人：</w:t>
      </w:r>
      <w:r>
        <w:rPr>
          <w:rFonts w:hint="eastAsia" w:ascii="宋体"/>
          <w:color w:val="auto"/>
          <w:sz w:val="28"/>
          <w:szCs w:val="28"/>
          <w:u w:val="single"/>
        </w:rPr>
        <w:t xml:space="preserve">                             </w:t>
      </w:r>
      <w:r>
        <w:rPr>
          <w:rFonts w:hint="eastAsia" w:ascii="宋体"/>
          <w:color w:val="auto"/>
          <w:sz w:val="28"/>
          <w:szCs w:val="28"/>
        </w:rPr>
        <w:t>（签字或盖章）</w:t>
      </w:r>
    </w:p>
    <w:p>
      <w:pPr>
        <w:jc w:val="center"/>
        <w:rPr>
          <w:rFonts w:ascii="宋体"/>
          <w:color w:val="auto"/>
          <w:sz w:val="28"/>
          <w:szCs w:val="28"/>
        </w:rPr>
      </w:pPr>
      <w:r>
        <w:rPr>
          <w:rFonts w:hint="eastAsia" w:ascii="宋体"/>
          <w:color w:val="auto"/>
          <w:sz w:val="28"/>
          <w:szCs w:val="28"/>
          <w:u w:val="single"/>
        </w:rPr>
        <w:t xml:space="preserve">        </w:t>
      </w:r>
      <w:r>
        <w:rPr>
          <w:rFonts w:hint="eastAsia" w:ascii="宋体"/>
          <w:color w:val="auto"/>
          <w:sz w:val="28"/>
          <w:szCs w:val="28"/>
        </w:rPr>
        <w:t>年</w:t>
      </w:r>
      <w:r>
        <w:rPr>
          <w:rFonts w:hint="eastAsia" w:ascii="宋体"/>
          <w:color w:val="auto"/>
          <w:sz w:val="28"/>
          <w:szCs w:val="28"/>
          <w:u w:val="single"/>
        </w:rPr>
        <w:t xml:space="preserve">     </w:t>
      </w:r>
      <w:r>
        <w:rPr>
          <w:rFonts w:hint="eastAsia" w:ascii="宋体"/>
          <w:color w:val="auto"/>
          <w:sz w:val="28"/>
          <w:szCs w:val="28"/>
        </w:rPr>
        <w:t>月</w:t>
      </w:r>
      <w:r>
        <w:rPr>
          <w:rFonts w:hint="eastAsia" w:ascii="宋体"/>
          <w:color w:val="auto"/>
          <w:sz w:val="28"/>
          <w:szCs w:val="28"/>
          <w:u w:val="single"/>
        </w:rPr>
        <w:t xml:space="preserve">     </w:t>
      </w:r>
      <w:r>
        <w:rPr>
          <w:rFonts w:hint="eastAsia" w:ascii="宋体"/>
          <w:color w:val="auto"/>
          <w:sz w:val="28"/>
          <w:szCs w:val="28"/>
        </w:rPr>
        <w:t>日</w:t>
      </w:r>
    </w:p>
    <w:p>
      <w:pPr>
        <w:jc w:val="center"/>
        <w:rPr>
          <w:b/>
          <w:color w:val="auto"/>
          <w:sz w:val="36"/>
          <w:szCs w:val="36"/>
        </w:rPr>
      </w:pPr>
    </w:p>
    <w:p>
      <w:pPr>
        <w:jc w:val="center"/>
        <w:rPr>
          <w:b/>
          <w:color w:val="auto"/>
          <w:sz w:val="36"/>
          <w:szCs w:val="36"/>
        </w:rPr>
      </w:pPr>
    </w:p>
    <w:p>
      <w:pPr>
        <w:jc w:val="center"/>
        <w:rPr>
          <w:b/>
          <w:color w:val="auto"/>
          <w:sz w:val="36"/>
          <w:szCs w:val="36"/>
        </w:rPr>
      </w:pPr>
    </w:p>
    <w:p>
      <w:pPr>
        <w:jc w:val="center"/>
        <w:rPr>
          <w:b/>
          <w:color w:val="auto"/>
          <w:sz w:val="36"/>
          <w:szCs w:val="36"/>
        </w:rPr>
      </w:pPr>
    </w:p>
    <w:p>
      <w:pPr>
        <w:jc w:val="center"/>
        <w:rPr>
          <w:b/>
          <w:color w:val="auto"/>
          <w:sz w:val="44"/>
          <w:szCs w:val="44"/>
        </w:rPr>
      </w:pPr>
      <w:r>
        <w:rPr>
          <w:rFonts w:hint="eastAsia"/>
          <w:b/>
          <w:color w:val="auto"/>
          <w:sz w:val="36"/>
          <w:szCs w:val="36"/>
        </w:rPr>
        <w:t>目   录</w:t>
      </w:r>
    </w:p>
    <w:p>
      <w:pPr>
        <w:spacing w:line="400" w:lineRule="exact"/>
        <w:ind w:firstLine="562" w:firstLineChars="200"/>
        <w:rPr>
          <w:rFonts w:ascii="宋体" w:hAnsi="宋体" w:cs="宋体"/>
          <w:b/>
          <w:color w:val="auto"/>
          <w:sz w:val="28"/>
          <w:szCs w:val="28"/>
        </w:rPr>
      </w:pPr>
    </w:p>
    <w:p>
      <w:pPr>
        <w:spacing w:line="360" w:lineRule="auto"/>
        <w:ind w:firstLine="420" w:firstLineChars="200"/>
        <w:rPr>
          <w:rFonts w:ascii="宋体" w:hAnsi="宋体" w:cs="宋体"/>
          <w:color w:val="auto"/>
          <w:szCs w:val="21"/>
        </w:rPr>
      </w:pPr>
      <w:r>
        <w:rPr>
          <w:rFonts w:hint="eastAsia" w:ascii="宋体" w:hAnsi="宋体" w:cs="宋体"/>
          <w:color w:val="auto"/>
          <w:szCs w:val="21"/>
        </w:rPr>
        <w:t>（1）开标一览表（格式见附件）；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（2）投标函（格式见附件）；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（3）分项报价清单（格式见附件）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（4）招标文件中要求的资信评审和资信评分的支持资料；</w:t>
      </w:r>
    </w:p>
    <w:p>
      <w:pPr>
        <w:spacing w:line="360" w:lineRule="auto"/>
        <w:ind w:firstLine="420" w:firstLineChars="200"/>
        <w:rPr>
          <w:rFonts w:ascii="宋体" w:hAnsi="宋体" w:cs="宋体"/>
          <w:color w:val="auto"/>
          <w:szCs w:val="21"/>
        </w:rPr>
      </w:pPr>
      <w:r>
        <w:rPr>
          <w:rFonts w:hint="eastAsia" w:ascii="宋体" w:hAnsi="宋体" w:cs="宋体"/>
          <w:color w:val="auto"/>
          <w:szCs w:val="21"/>
        </w:rPr>
        <w:t>（5）投标人认为需要提供的其他资信证明材料。</w:t>
      </w:r>
    </w:p>
    <w:p>
      <w:pPr>
        <w:jc w:val="center"/>
        <w:rPr>
          <w:rFonts w:ascii="宋体" w:hAnsi="宋体"/>
          <w:b/>
          <w:color w:val="auto"/>
          <w:sz w:val="30"/>
          <w:szCs w:val="30"/>
        </w:rPr>
      </w:pPr>
    </w:p>
    <w:p>
      <w:pPr>
        <w:jc w:val="center"/>
        <w:rPr>
          <w:rFonts w:ascii="宋体" w:hAnsi="宋体"/>
          <w:b/>
          <w:color w:val="auto"/>
          <w:sz w:val="30"/>
          <w:szCs w:val="30"/>
        </w:rPr>
      </w:pPr>
    </w:p>
    <w:p>
      <w:pPr>
        <w:jc w:val="center"/>
        <w:rPr>
          <w:rFonts w:ascii="宋体" w:hAnsi="宋体"/>
          <w:b/>
          <w:color w:val="auto"/>
          <w:sz w:val="30"/>
          <w:szCs w:val="30"/>
        </w:rPr>
      </w:pPr>
    </w:p>
    <w:p>
      <w:pPr>
        <w:jc w:val="center"/>
        <w:rPr>
          <w:rFonts w:ascii="宋体" w:hAnsi="宋体"/>
          <w:b/>
          <w:color w:val="auto"/>
          <w:sz w:val="30"/>
          <w:szCs w:val="30"/>
        </w:rPr>
      </w:pPr>
    </w:p>
    <w:p>
      <w:pPr>
        <w:jc w:val="center"/>
        <w:rPr>
          <w:rFonts w:ascii="宋体" w:hAnsi="宋体"/>
          <w:b/>
          <w:color w:val="auto"/>
          <w:sz w:val="30"/>
          <w:szCs w:val="30"/>
        </w:rPr>
      </w:pPr>
    </w:p>
    <w:p>
      <w:pPr>
        <w:jc w:val="center"/>
        <w:rPr>
          <w:rFonts w:ascii="宋体" w:hAnsi="宋体"/>
          <w:b/>
          <w:color w:val="auto"/>
          <w:sz w:val="30"/>
          <w:szCs w:val="30"/>
        </w:rPr>
      </w:pPr>
    </w:p>
    <w:p>
      <w:pPr>
        <w:jc w:val="center"/>
        <w:rPr>
          <w:rFonts w:ascii="宋体" w:hAnsi="宋体"/>
          <w:b/>
          <w:color w:val="auto"/>
          <w:sz w:val="30"/>
          <w:szCs w:val="30"/>
        </w:rPr>
      </w:pPr>
    </w:p>
    <w:p>
      <w:pPr>
        <w:jc w:val="center"/>
        <w:rPr>
          <w:rFonts w:ascii="宋体" w:hAnsi="宋体"/>
          <w:b/>
          <w:color w:val="auto"/>
          <w:sz w:val="30"/>
          <w:szCs w:val="30"/>
        </w:rPr>
      </w:pPr>
    </w:p>
    <w:p>
      <w:pPr>
        <w:jc w:val="center"/>
        <w:rPr>
          <w:rFonts w:ascii="宋体" w:hAnsi="宋体"/>
          <w:b/>
          <w:color w:val="auto"/>
          <w:sz w:val="30"/>
          <w:szCs w:val="30"/>
        </w:rPr>
      </w:pPr>
    </w:p>
    <w:p>
      <w:pPr>
        <w:jc w:val="center"/>
        <w:rPr>
          <w:rFonts w:ascii="宋体" w:hAnsi="宋体"/>
          <w:b/>
          <w:color w:val="auto"/>
          <w:sz w:val="30"/>
          <w:szCs w:val="30"/>
        </w:rPr>
      </w:pPr>
    </w:p>
    <w:p>
      <w:pPr>
        <w:jc w:val="center"/>
        <w:rPr>
          <w:rFonts w:ascii="宋体" w:hAnsi="宋体"/>
          <w:b/>
          <w:color w:val="auto"/>
          <w:sz w:val="30"/>
          <w:szCs w:val="30"/>
        </w:rPr>
      </w:pPr>
    </w:p>
    <w:p>
      <w:pPr>
        <w:jc w:val="center"/>
        <w:rPr>
          <w:rFonts w:ascii="宋体" w:hAnsi="宋体"/>
          <w:b/>
          <w:color w:val="auto"/>
          <w:sz w:val="30"/>
          <w:szCs w:val="30"/>
        </w:rPr>
      </w:pPr>
    </w:p>
    <w:p>
      <w:pPr>
        <w:jc w:val="center"/>
        <w:rPr>
          <w:rFonts w:ascii="宋体" w:hAnsi="宋体"/>
          <w:b/>
          <w:color w:val="auto"/>
          <w:sz w:val="30"/>
          <w:szCs w:val="30"/>
        </w:rPr>
      </w:pPr>
    </w:p>
    <w:p>
      <w:pPr>
        <w:jc w:val="center"/>
        <w:rPr>
          <w:rFonts w:ascii="宋体" w:hAnsi="宋体"/>
          <w:b/>
          <w:color w:val="auto"/>
          <w:sz w:val="30"/>
          <w:szCs w:val="30"/>
        </w:rPr>
      </w:pPr>
    </w:p>
    <w:p>
      <w:pPr>
        <w:jc w:val="center"/>
        <w:rPr>
          <w:rFonts w:ascii="宋体" w:hAnsi="宋体"/>
          <w:b/>
          <w:color w:val="auto"/>
          <w:sz w:val="30"/>
          <w:szCs w:val="30"/>
        </w:rPr>
      </w:pPr>
    </w:p>
    <w:p>
      <w:pPr>
        <w:jc w:val="center"/>
        <w:rPr>
          <w:rFonts w:ascii="宋体" w:hAnsi="宋体"/>
          <w:b/>
          <w:color w:val="auto"/>
          <w:sz w:val="30"/>
          <w:szCs w:val="30"/>
        </w:rPr>
      </w:pPr>
    </w:p>
    <w:p>
      <w:pPr>
        <w:jc w:val="center"/>
        <w:rPr>
          <w:rFonts w:ascii="宋体" w:hAnsi="宋体"/>
          <w:b/>
          <w:color w:val="auto"/>
          <w:sz w:val="30"/>
          <w:szCs w:val="30"/>
        </w:rPr>
      </w:pPr>
    </w:p>
    <w:p>
      <w:pPr>
        <w:spacing w:line="400" w:lineRule="exact"/>
        <w:ind w:firstLine="4130" w:firstLineChars="935"/>
        <w:rPr>
          <w:b/>
          <w:color w:val="auto"/>
          <w:sz w:val="44"/>
          <w:szCs w:val="44"/>
        </w:rPr>
      </w:pPr>
    </w:p>
    <w:p>
      <w:pPr>
        <w:spacing w:line="360" w:lineRule="exact"/>
        <w:ind w:firstLine="531" w:firstLineChars="147"/>
        <w:jc w:val="center"/>
        <w:rPr>
          <w:rFonts w:ascii="宋体"/>
          <w:b/>
          <w:color w:val="auto"/>
          <w:sz w:val="36"/>
          <w:szCs w:val="36"/>
        </w:rPr>
      </w:pPr>
      <w:r>
        <w:rPr>
          <w:rFonts w:hint="eastAsia" w:ascii="宋体"/>
          <w:b/>
          <w:color w:val="auto"/>
          <w:sz w:val="36"/>
          <w:szCs w:val="36"/>
        </w:rPr>
        <w:t>开标一览表</w:t>
      </w:r>
    </w:p>
    <w:p>
      <w:pPr>
        <w:spacing w:line="360" w:lineRule="exact"/>
        <w:ind w:firstLine="354" w:firstLineChars="147"/>
        <w:rPr>
          <w:rFonts w:ascii="宋体"/>
          <w:b/>
          <w:color w:val="auto"/>
          <w:sz w:val="24"/>
        </w:rPr>
      </w:pPr>
    </w:p>
    <w:tbl>
      <w:tblPr>
        <w:tblStyle w:val="51"/>
        <w:tblW w:w="8755" w:type="dxa"/>
        <w:tblInd w:w="-11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46"/>
        <w:gridCol w:w="66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50" w:hRule="exact"/>
        </w:trPr>
        <w:tc>
          <w:tcPr>
            <w:tcW w:w="2146" w:type="dxa"/>
            <w:tcBorders>
              <w:top w:val="single" w:color="auto" w:sz="12" w:space="0"/>
              <w:bottom w:val="single" w:color="auto" w:sz="12" w:space="0"/>
              <w:right w:val="single" w:color="auto" w:sz="12" w:space="0"/>
            </w:tcBorders>
            <w:vAlign w:val="center"/>
          </w:tcPr>
          <w:p>
            <w:pPr>
              <w:spacing w:line="700" w:lineRule="exact"/>
              <w:jc w:val="center"/>
              <w:rPr>
                <w:rFonts w:ascii="宋体"/>
                <w:color w:val="auto"/>
                <w:sz w:val="24"/>
              </w:rPr>
            </w:pPr>
            <w:r>
              <w:rPr>
                <w:rFonts w:hint="eastAsia" w:ascii="宋体"/>
                <w:color w:val="auto"/>
                <w:sz w:val="24"/>
              </w:rPr>
              <w:t>项目名称</w:t>
            </w:r>
          </w:p>
        </w:tc>
        <w:tc>
          <w:tcPr>
            <w:tcW w:w="6609" w:type="dxa"/>
            <w:tcBorders>
              <w:top w:val="single" w:color="auto" w:sz="12" w:space="0"/>
              <w:left w:val="single" w:color="auto" w:sz="12" w:space="0"/>
              <w:bottom w:val="single" w:color="auto" w:sz="12" w:space="0"/>
            </w:tcBorders>
            <w:vAlign w:val="center"/>
          </w:tcPr>
          <w:p>
            <w:pPr>
              <w:spacing w:line="700" w:lineRule="exact"/>
              <w:jc w:val="left"/>
              <w:rPr>
                <w:color w:val="auto"/>
                <w:sz w:val="24"/>
              </w:rPr>
            </w:pPr>
            <w:r>
              <w:rPr>
                <w:rFonts w:hint="eastAsia"/>
                <w:color w:val="auto"/>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22" w:hRule="exact"/>
        </w:trPr>
        <w:tc>
          <w:tcPr>
            <w:tcW w:w="2146" w:type="dxa"/>
            <w:tcBorders>
              <w:top w:val="single" w:color="auto" w:sz="12" w:space="0"/>
              <w:right w:val="single" w:color="auto" w:sz="12" w:space="0"/>
            </w:tcBorders>
            <w:vAlign w:val="center"/>
          </w:tcPr>
          <w:p>
            <w:pPr>
              <w:spacing w:line="700" w:lineRule="exact"/>
              <w:jc w:val="center"/>
              <w:rPr>
                <w:rFonts w:ascii="宋体"/>
                <w:color w:val="auto"/>
                <w:sz w:val="24"/>
              </w:rPr>
            </w:pPr>
            <w:r>
              <w:rPr>
                <w:rFonts w:hint="eastAsia" w:ascii="宋体"/>
                <w:color w:val="auto"/>
                <w:sz w:val="24"/>
              </w:rPr>
              <w:t>项目编号</w:t>
            </w:r>
          </w:p>
        </w:tc>
        <w:tc>
          <w:tcPr>
            <w:tcW w:w="6609" w:type="dxa"/>
            <w:tcBorders>
              <w:top w:val="single" w:color="auto" w:sz="12" w:space="0"/>
              <w:left w:val="single" w:color="auto" w:sz="12" w:space="0"/>
            </w:tcBorders>
            <w:vAlign w:val="center"/>
          </w:tcPr>
          <w:p>
            <w:pPr>
              <w:spacing w:line="700" w:lineRule="exact"/>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18" w:hRule="exact"/>
        </w:trPr>
        <w:tc>
          <w:tcPr>
            <w:tcW w:w="2146" w:type="dxa"/>
            <w:tcBorders>
              <w:right w:val="single" w:color="auto" w:sz="12" w:space="0"/>
            </w:tcBorders>
            <w:vAlign w:val="center"/>
          </w:tcPr>
          <w:p>
            <w:pPr>
              <w:spacing w:line="700" w:lineRule="exact"/>
              <w:ind w:firstLine="120" w:firstLineChars="50"/>
              <w:rPr>
                <w:rFonts w:ascii="宋体"/>
                <w:color w:val="auto"/>
                <w:sz w:val="24"/>
              </w:rPr>
            </w:pPr>
            <w:r>
              <w:rPr>
                <w:rFonts w:hint="eastAsia" w:ascii="宋体"/>
                <w:color w:val="auto"/>
                <w:sz w:val="24"/>
              </w:rPr>
              <w:t>投标人名称</w:t>
            </w:r>
          </w:p>
        </w:tc>
        <w:tc>
          <w:tcPr>
            <w:tcW w:w="6609" w:type="dxa"/>
            <w:tcBorders>
              <w:left w:val="single" w:color="auto" w:sz="12" w:space="0"/>
            </w:tcBorders>
          </w:tcPr>
          <w:p>
            <w:pPr>
              <w:pStyle w:val="26"/>
              <w:spacing w:line="700" w:lineRule="exact"/>
              <w:ind w:left="86" w:leftChars="41"/>
              <w:rPr>
                <w:rFonts w:ascii="宋体" w:eastAsia="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86" w:hRule="exact"/>
        </w:trPr>
        <w:tc>
          <w:tcPr>
            <w:tcW w:w="2146" w:type="dxa"/>
            <w:tcBorders>
              <w:right w:val="single" w:color="auto" w:sz="12" w:space="0"/>
            </w:tcBorders>
            <w:vAlign w:val="center"/>
          </w:tcPr>
          <w:p>
            <w:pPr>
              <w:spacing w:line="700" w:lineRule="exact"/>
              <w:jc w:val="center"/>
              <w:rPr>
                <w:rFonts w:ascii="宋体"/>
                <w:color w:val="auto"/>
                <w:sz w:val="24"/>
              </w:rPr>
            </w:pPr>
            <w:r>
              <w:rPr>
                <w:rFonts w:hint="eastAsia" w:ascii="宋体"/>
                <w:color w:val="auto"/>
                <w:sz w:val="24"/>
              </w:rPr>
              <w:t>投标报价/服务期</w:t>
            </w:r>
          </w:p>
        </w:tc>
        <w:tc>
          <w:tcPr>
            <w:tcW w:w="6609" w:type="dxa"/>
            <w:tcBorders>
              <w:left w:val="single" w:color="auto" w:sz="12" w:space="0"/>
            </w:tcBorders>
            <w:vAlign w:val="center"/>
          </w:tcPr>
          <w:p>
            <w:pPr>
              <w:spacing w:line="360" w:lineRule="auto"/>
              <w:rPr>
                <w:rFonts w:ascii="宋体"/>
                <w:color w:val="auto"/>
                <w:sz w:val="24"/>
              </w:rPr>
            </w:pPr>
            <w:r>
              <w:rPr>
                <w:rFonts w:hint="eastAsia" w:ascii="宋体"/>
                <w:color w:val="auto"/>
                <w:sz w:val="24"/>
              </w:rPr>
              <w:t>投标报价 （大写）：</w:t>
            </w:r>
            <w:r>
              <w:rPr>
                <w:rFonts w:hint="eastAsia" w:ascii="宋体"/>
                <w:color w:val="auto"/>
                <w:sz w:val="24"/>
                <w:u w:val="single"/>
              </w:rPr>
              <w:t xml:space="preserve">                   </w:t>
            </w:r>
            <w:r>
              <w:rPr>
                <w:rFonts w:hint="eastAsia" w:ascii="宋体"/>
                <w:color w:val="auto"/>
                <w:sz w:val="24"/>
              </w:rPr>
              <w:t>元</w:t>
            </w:r>
          </w:p>
          <w:p>
            <w:pPr>
              <w:spacing w:line="360" w:lineRule="auto"/>
              <w:ind w:firstLine="1080" w:firstLineChars="450"/>
              <w:rPr>
                <w:rFonts w:ascii="宋体"/>
                <w:color w:val="auto"/>
                <w:sz w:val="24"/>
              </w:rPr>
            </w:pPr>
            <w:r>
              <w:rPr>
                <w:rFonts w:hint="eastAsia" w:ascii="宋体"/>
                <w:color w:val="auto"/>
                <w:sz w:val="24"/>
              </w:rPr>
              <w:t>(小写) ：</w:t>
            </w:r>
            <w:r>
              <w:rPr>
                <w:rFonts w:hint="eastAsia" w:ascii="宋体"/>
                <w:color w:val="auto"/>
                <w:sz w:val="24"/>
                <w:u w:val="single"/>
              </w:rPr>
              <w:t xml:space="preserve">                    </w:t>
            </w:r>
            <w:r>
              <w:rPr>
                <w:rFonts w:hint="eastAsia" w:ascii="宋体"/>
                <w:color w:val="auto"/>
                <w:sz w:val="24"/>
              </w:rPr>
              <w:t>元</w:t>
            </w:r>
          </w:p>
          <w:p>
            <w:pPr>
              <w:spacing w:line="360" w:lineRule="auto"/>
              <w:ind w:firstLine="1080" w:firstLineChars="450"/>
              <w:rPr>
                <w:rFonts w:ascii="宋体"/>
                <w:color w:val="auto"/>
                <w:sz w:val="24"/>
              </w:rPr>
            </w:pPr>
          </w:p>
          <w:p>
            <w:pPr>
              <w:pStyle w:val="18"/>
              <w:ind w:firstLine="0"/>
              <w:rPr>
                <w:color w:val="auto"/>
              </w:rPr>
            </w:pPr>
            <w:r>
              <w:rPr>
                <w:rFonts w:hint="eastAsia" w:ascii="宋体"/>
                <w:color w:val="auto"/>
                <w:sz w:val="24"/>
              </w:rPr>
              <w:t>服务期：</w:t>
            </w:r>
            <w:r>
              <w:rPr>
                <w:rFonts w:hint="eastAsia" w:ascii="宋体"/>
                <w:color w:val="auto"/>
                <w:sz w:val="24"/>
                <w:u w:val="single"/>
              </w:rPr>
              <w:t xml:space="preserve">                   。</w:t>
            </w:r>
          </w:p>
        </w:tc>
      </w:tr>
    </w:tbl>
    <w:p>
      <w:pPr>
        <w:snapToGrid w:val="0"/>
        <w:spacing w:line="460" w:lineRule="exact"/>
        <w:ind w:left="2940" w:leftChars="1400" w:firstLine="723" w:firstLineChars="300"/>
        <w:rPr>
          <w:rFonts w:ascii="宋体"/>
          <w:b/>
          <w:color w:val="auto"/>
          <w:sz w:val="24"/>
        </w:rPr>
      </w:pPr>
    </w:p>
    <w:p>
      <w:pPr>
        <w:rPr>
          <w:rFonts w:ascii="宋体"/>
          <w:color w:val="auto"/>
          <w:sz w:val="24"/>
        </w:rPr>
      </w:pPr>
      <w:r>
        <w:rPr>
          <w:rFonts w:hint="eastAsia" w:ascii="宋体"/>
          <w:color w:val="auto"/>
          <w:sz w:val="24"/>
        </w:rPr>
        <w:t>法定代表人（签字或盖章）：         投标人（签字或盖章）：</w:t>
      </w:r>
    </w:p>
    <w:p>
      <w:pPr>
        <w:snapToGrid w:val="0"/>
        <w:spacing w:before="312" w:beforeLines="100" w:after="312" w:afterLines="100" w:line="360" w:lineRule="auto"/>
        <w:jc w:val="center"/>
        <w:rPr>
          <w:rFonts w:cs="Arial"/>
          <w:b/>
          <w:bCs/>
          <w:color w:val="auto"/>
          <w:sz w:val="30"/>
          <w:szCs w:val="30"/>
        </w:rPr>
        <w:sectPr>
          <w:pgSz w:w="11906" w:h="16838"/>
          <w:pgMar w:top="1440" w:right="1800" w:bottom="1440" w:left="1800" w:header="851" w:footer="992" w:gutter="0"/>
          <w:pgNumType w:fmt="numberInDash"/>
          <w:cols w:space="720" w:num="1"/>
          <w:docGrid w:type="lines" w:linePitch="312" w:charSpace="0"/>
        </w:sectPr>
      </w:pPr>
      <w:r>
        <w:rPr>
          <w:rFonts w:hint="eastAsia" w:ascii="宋体"/>
          <w:color w:val="auto"/>
          <w:sz w:val="24"/>
        </w:rPr>
        <w:t xml:space="preserve">                                      日  期：</w:t>
      </w:r>
      <w:r>
        <w:rPr>
          <w:rFonts w:hint="eastAsia" w:ascii="宋体" w:hAnsi="宋体"/>
          <w:color w:val="auto"/>
          <w:sz w:val="24"/>
          <w:u w:val="single"/>
        </w:rPr>
        <w:t xml:space="preserve">      </w:t>
      </w:r>
      <w:r>
        <w:rPr>
          <w:rFonts w:hint="eastAsia" w:ascii="宋体"/>
          <w:color w:val="auto"/>
          <w:sz w:val="24"/>
        </w:rPr>
        <w:t>年</w:t>
      </w:r>
      <w:r>
        <w:rPr>
          <w:rFonts w:hint="eastAsia" w:ascii="宋体" w:hAnsi="宋体"/>
          <w:color w:val="auto"/>
          <w:sz w:val="24"/>
          <w:u w:val="single"/>
        </w:rPr>
        <w:t xml:space="preserve">   </w:t>
      </w:r>
      <w:r>
        <w:rPr>
          <w:rFonts w:hint="eastAsia" w:ascii="宋体"/>
          <w:color w:val="auto"/>
          <w:sz w:val="24"/>
        </w:rPr>
        <w:t>月</w:t>
      </w:r>
      <w:r>
        <w:rPr>
          <w:rFonts w:hint="eastAsia" w:ascii="宋体" w:hAnsi="宋体"/>
          <w:color w:val="auto"/>
          <w:sz w:val="24"/>
          <w:u w:val="single"/>
        </w:rPr>
        <w:t xml:space="preserve">   </w:t>
      </w:r>
      <w:r>
        <w:rPr>
          <w:rFonts w:hint="eastAsia" w:ascii="宋体"/>
          <w:color w:val="auto"/>
          <w:sz w:val="24"/>
        </w:rPr>
        <w:t xml:space="preserve">日 </w:t>
      </w:r>
    </w:p>
    <w:p>
      <w:pPr>
        <w:spacing w:line="360" w:lineRule="exact"/>
        <w:ind w:firstLine="443" w:firstLineChars="147"/>
        <w:rPr>
          <w:rFonts w:ascii="宋体" w:hAnsi="宋体"/>
          <w:b/>
          <w:color w:val="auto"/>
          <w:sz w:val="30"/>
          <w:szCs w:val="30"/>
        </w:rPr>
      </w:pPr>
    </w:p>
    <w:p>
      <w:pPr>
        <w:spacing w:line="360" w:lineRule="exact"/>
        <w:jc w:val="center"/>
        <w:rPr>
          <w:rFonts w:ascii="宋体"/>
          <w:b/>
          <w:color w:val="auto"/>
          <w:sz w:val="36"/>
          <w:szCs w:val="36"/>
        </w:rPr>
      </w:pPr>
      <w:r>
        <w:rPr>
          <w:rFonts w:hint="eastAsia" w:ascii="宋体"/>
          <w:b/>
          <w:color w:val="auto"/>
          <w:sz w:val="36"/>
          <w:szCs w:val="36"/>
        </w:rPr>
        <w:t>投  标  函</w:t>
      </w:r>
    </w:p>
    <w:p>
      <w:pPr>
        <w:spacing w:line="440" w:lineRule="exact"/>
        <w:rPr>
          <w:rFonts w:ascii="宋体"/>
          <w:color w:val="auto"/>
          <w:sz w:val="24"/>
        </w:rPr>
      </w:pPr>
    </w:p>
    <w:p>
      <w:pPr>
        <w:spacing w:line="440" w:lineRule="exact"/>
        <w:rPr>
          <w:rFonts w:ascii="宋体"/>
          <w:color w:val="auto"/>
          <w:sz w:val="24"/>
        </w:rPr>
      </w:pPr>
      <w:r>
        <w:rPr>
          <w:rFonts w:hint="eastAsia" w:ascii="宋体"/>
          <w:color w:val="auto"/>
          <w:sz w:val="24"/>
        </w:rPr>
        <w:t>致：</w:t>
      </w:r>
      <w:r>
        <w:rPr>
          <w:rFonts w:hint="eastAsia" w:ascii="宋体"/>
          <w:color w:val="auto"/>
          <w:sz w:val="24"/>
          <w:u w:val="single"/>
        </w:rPr>
        <w:t xml:space="preserve">       (采购人)       </w:t>
      </w:r>
      <w:r>
        <w:rPr>
          <w:rFonts w:hint="eastAsia" w:ascii="宋体"/>
          <w:color w:val="auto"/>
          <w:sz w:val="24"/>
        </w:rPr>
        <w:t xml:space="preserve"> </w:t>
      </w:r>
    </w:p>
    <w:p>
      <w:pPr>
        <w:spacing w:line="440" w:lineRule="exact"/>
        <w:ind w:firstLine="480" w:firstLineChars="200"/>
        <w:rPr>
          <w:rFonts w:ascii="宋体"/>
          <w:color w:val="auto"/>
          <w:sz w:val="24"/>
        </w:rPr>
      </w:pPr>
      <w:r>
        <w:rPr>
          <w:rFonts w:hint="eastAsia" w:ascii="宋体"/>
          <w:color w:val="auto"/>
          <w:sz w:val="24"/>
        </w:rPr>
        <w:t>1.我们决定参加贵单位组织的“</w:t>
      </w:r>
      <w:r>
        <w:rPr>
          <w:rFonts w:hint="eastAsia" w:ascii="宋体"/>
          <w:color w:val="auto"/>
          <w:sz w:val="24"/>
          <w:u w:val="single"/>
        </w:rPr>
        <w:t xml:space="preserve"> （项目名称）    </w:t>
      </w:r>
      <w:r>
        <w:rPr>
          <w:rFonts w:hint="eastAsia" w:ascii="宋体"/>
          <w:color w:val="auto"/>
          <w:sz w:val="24"/>
        </w:rPr>
        <w:t>（编号：</w:t>
      </w:r>
      <w:r>
        <w:rPr>
          <w:rFonts w:hint="eastAsia" w:ascii="宋体"/>
          <w:color w:val="auto"/>
          <w:sz w:val="24"/>
          <w:u w:val="single"/>
        </w:rPr>
        <w:t xml:space="preserve">             </w:t>
      </w:r>
      <w:r>
        <w:rPr>
          <w:rFonts w:hint="eastAsia" w:ascii="宋体"/>
          <w:color w:val="auto"/>
          <w:sz w:val="24"/>
        </w:rPr>
        <w:t xml:space="preserve">）”的采购。我方授权 </w:t>
      </w:r>
      <w:r>
        <w:rPr>
          <w:rFonts w:hint="eastAsia" w:ascii="宋体"/>
          <w:color w:val="auto"/>
          <w:sz w:val="24"/>
          <w:u w:val="single"/>
        </w:rPr>
        <w:t xml:space="preserve">              </w:t>
      </w:r>
      <w:r>
        <w:rPr>
          <w:rFonts w:hint="eastAsia" w:ascii="宋体"/>
          <w:color w:val="auto"/>
          <w:sz w:val="24"/>
        </w:rPr>
        <w:t>(姓名和职务)代表我方</w:t>
      </w:r>
      <w:r>
        <w:rPr>
          <w:rFonts w:hint="eastAsia" w:ascii="宋体"/>
          <w:color w:val="auto"/>
          <w:sz w:val="24"/>
          <w:u w:val="single"/>
        </w:rPr>
        <w:t xml:space="preserve">               </w:t>
      </w:r>
      <w:r>
        <w:rPr>
          <w:rFonts w:hint="eastAsia" w:ascii="宋体"/>
          <w:color w:val="auto"/>
          <w:sz w:val="24"/>
        </w:rPr>
        <w:t>（投标人的名称）全权处理本项目投标的有关事宜。</w:t>
      </w:r>
    </w:p>
    <w:p>
      <w:pPr>
        <w:spacing w:line="440" w:lineRule="exact"/>
        <w:ind w:firstLine="480" w:firstLineChars="200"/>
        <w:rPr>
          <w:rFonts w:ascii="宋体"/>
          <w:color w:val="auto"/>
          <w:sz w:val="24"/>
        </w:rPr>
      </w:pPr>
      <w:r>
        <w:rPr>
          <w:rFonts w:hint="eastAsia" w:ascii="宋体"/>
          <w:color w:val="auto"/>
          <w:sz w:val="24"/>
        </w:rPr>
        <w:t xml:space="preserve">2.我方愿意按照招标文件规定的各项要求，向采购人提供“ </w:t>
      </w:r>
      <w:r>
        <w:rPr>
          <w:rFonts w:hint="eastAsia" w:ascii="宋体"/>
          <w:color w:val="auto"/>
          <w:sz w:val="24"/>
          <w:u w:val="single"/>
        </w:rPr>
        <w:t xml:space="preserve">     </w:t>
      </w:r>
      <w:r>
        <w:rPr>
          <w:rFonts w:hint="eastAsia" w:ascii="宋体"/>
          <w:color w:val="auto"/>
          <w:sz w:val="24"/>
        </w:rPr>
        <w:t>（项目编号）”项目的服务，总投标价为</w:t>
      </w:r>
      <w:r>
        <w:rPr>
          <w:rFonts w:hint="eastAsia" w:ascii="宋体"/>
          <w:color w:val="auto"/>
          <w:sz w:val="24"/>
          <w:u w:val="single"/>
        </w:rPr>
        <w:t xml:space="preserve">人民币（大写）      （小写）         </w:t>
      </w:r>
      <w:r>
        <w:rPr>
          <w:rFonts w:hint="eastAsia" w:ascii="宋体"/>
          <w:color w:val="auto"/>
          <w:sz w:val="24"/>
        </w:rPr>
        <w:t xml:space="preserve"> ；服务期 ：</w:t>
      </w:r>
      <w:r>
        <w:rPr>
          <w:rFonts w:hint="eastAsia" w:ascii="宋体"/>
          <w:color w:val="auto"/>
          <w:sz w:val="24"/>
          <w:u w:val="single"/>
        </w:rPr>
        <w:t xml:space="preserve">     </w:t>
      </w:r>
      <w:r>
        <w:rPr>
          <w:rFonts w:hint="eastAsia" w:ascii="宋体"/>
          <w:color w:val="auto"/>
          <w:sz w:val="24"/>
        </w:rPr>
        <w:t>。</w:t>
      </w:r>
    </w:p>
    <w:p>
      <w:pPr>
        <w:spacing w:line="440" w:lineRule="exact"/>
        <w:ind w:firstLine="480" w:firstLineChars="200"/>
        <w:rPr>
          <w:rFonts w:ascii="宋体"/>
          <w:color w:val="auto"/>
          <w:sz w:val="24"/>
        </w:rPr>
      </w:pPr>
      <w:r>
        <w:rPr>
          <w:rFonts w:hint="eastAsia" w:ascii="宋体"/>
          <w:color w:val="auto"/>
          <w:sz w:val="24"/>
        </w:rPr>
        <w:t>3.一旦我方成为合同签字人，我方将严格履行合同规定的责任和义务。</w:t>
      </w:r>
    </w:p>
    <w:p>
      <w:pPr>
        <w:spacing w:line="440" w:lineRule="exact"/>
        <w:ind w:firstLine="480" w:firstLineChars="200"/>
        <w:rPr>
          <w:rFonts w:ascii="宋体"/>
          <w:color w:val="auto"/>
          <w:sz w:val="24"/>
        </w:rPr>
      </w:pPr>
      <w:r>
        <w:rPr>
          <w:rFonts w:hint="eastAsia" w:ascii="宋体"/>
          <w:color w:val="auto"/>
          <w:sz w:val="24"/>
        </w:rPr>
        <w:t>4.我方愿意提供可能另外要求的、与采购投标有关的文件资料，并保证我方已提供和将要提供的文件是真实的、准确的。</w:t>
      </w:r>
    </w:p>
    <w:p>
      <w:pPr>
        <w:spacing w:line="440" w:lineRule="exact"/>
        <w:ind w:firstLine="480" w:firstLineChars="200"/>
        <w:rPr>
          <w:rFonts w:ascii="宋体"/>
          <w:color w:val="auto"/>
          <w:sz w:val="24"/>
        </w:rPr>
      </w:pPr>
      <w:r>
        <w:rPr>
          <w:rFonts w:hint="eastAsia" w:ascii="宋体"/>
          <w:color w:val="auto"/>
          <w:sz w:val="24"/>
        </w:rPr>
        <w:t>5、我单位提供如下通讯地址：</w:t>
      </w:r>
      <w:r>
        <w:rPr>
          <w:rFonts w:hint="eastAsia" w:ascii="宋体"/>
          <w:color w:val="auto"/>
          <w:sz w:val="24"/>
          <w:u w:val="single"/>
        </w:rPr>
        <w:t xml:space="preserve">              </w:t>
      </w:r>
      <w:r>
        <w:rPr>
          <w:rFonts w:hint="eastAsia" w:ascii="宋体"/>
          <w:color w:val="auto"/>
          <w:sz w:val="24"/>
        </w:rPr>
        <w:t xml:space="preserve">  电子邮箱（地址），确认本项目相关法律文书均通过提供的以上地址送达，相关文书只要发送至以上电子邮箱（地址）即视为送达，投标人愿意承担一切法律后果。</w:t>
      </w:r>
    </w:p>
    <w:p>
      <w:pPr>
        <w:spacing w:line="440" w:lineRule="exact"/>
        <w:rPr>
          <w:rFonts w:ascii="宋体"/>
          <w:color w:val="auto"/>
          <w:sz w:val="24"/>
        </w:rPr>
      </w:pPr>
      <w:r>
        <w:rPr>
          <w:rFonts w:hint="eastAsia" w:ascii="宋体"/>
          <w:color w:val="auto"/>
          <w:sz w:val="24"/>
        </w:rPr>
        <w:t> </w:t>
      </w:r>
    </w:p>
    <w:p>
      <w:pPr>
        <w:spacing w:line="440" w:lineRule="exact"/>
        <w:jc w:val="right"/>
        <w:rPr>
          <w:rFonts w:ascii="宋体"/>
          <w:color w:val="auto"/>
          <w:sz w:val="24"/>
        </w:rPr>
      </w:pPr>
      <w:r>
        <w:rPr>
          <w:rFonts w:hint="eastAsia" w:ascii="宋体"/>
          <w:color w:val="auto"/>
          <w:sz w:val="24"/>
        </w:rPr>
        <w:t>投标人名称：</w:t>
      </w:r>
      <w:r>
        <w:rPr>
          <w:rFonts w:hint="eastAsia" w:ascii="宋体"/>
          <w:color w:val="auto"/>
          <w:sz w:val="24"/>
          <w:u w:val="single"/>
        </w:rPr>
        <w:t xml:space="preserve">                        </w:t>
      </w:r>
      <w:r>
        <w:rPr>
          <w:rFonts w:hint="eastAsia" w:ascii="宋体"/>
          <w:color w:val="auto"/>
          <w:sz w:val="24"/>
        </w:rPr>
        <w:t>（盖单位章）</w:t>
      </w:r>
    </w:p>
    <w:p>
      <w:pPr>
        <w:spacing w:line="440" w:lineRule="exact"/>
        <w:jc w:val="right"/>
        <w:rPr>
          <w:rFonts w:ascii="宋体"/>
          <w:color w:val="auto"/>
          <w:sz w:val="24"/>
        </w:rPr>
      </w:pPr>
    </w:p>
    <w:p>
      <w:pPr>
        <w:spacing w:line="440" w:lineRule="exact"/>
        <w:jc w:val="right"/>
        <w:rPr>
          <w:rFonts w:ascii="宋体"/>
          <w:color w:val="auto"/>
          <w:sz w:val="24"/>
        </w:rPr>
      </w:pPr>
      <w:r>
        <w:rPr>
          <w:rFonts w:hint="eastAsia" w:ascii="宋体"/>
          <w:color w:val="auto"/>
          <w:sz w:val="24"/>
        </w:rPr>
        <w:t>投标人法定代表人：</w:t>
      </w:r>
      <w:r>
        <w:rPr>
          <w:rFonts w:hint="eastAsia" w:ascii="宋体"/>
          <w:color w:val="auto"/>
          <w:sz w:val="24"/>
          <w:u w:val="single"/>
        </w:rPr>
        <w:t xml:space="preserve">                      </w:t>
      </w:r>
      <w:r>
        <w:rPr>
          <w:rFonts w:hint="eastAsia" w:ascii="宋体"/>
          <w:color w:val="auto"/>
          <w:sz w:val="24"/>
        </w:rPr>
        <w:t>（签字或盖章）</w:t>
      </w:r>
    </w:p>
    <w:p>
      <w:pPr>
        <w:spacing w:line="440" w:lineRule="exact"/>
        <w:ind w:firstLine="3240" w:firstLineChars="1350"/>
        <w:rPr>
          <w:rFonts w:ascii="宋体"/>
          <w:color w:val="auto"/>
          <w:sz w:val="24"/>
        </w:rPr>
      </w:pPr>
      <w:r>
        <w:rPr>
          <w:rFonts w:hint="eastAsia" w:ascii="宋体"/>
          <w:color w:val="auto"/>
          <w:sz w:val="24"/>
        </w:rPr>
        <w:t>日    期：</w:t>
      </w:r>
      <w:r>
        <w:rPr>
          <w:rFonts w:hint="eastAsia" w:ascii="宋体"/>
          <w:color w:val="auto"/>
          <w:sz w:val="24"/>
          <w:u w:val="single"/>
        </w:rPr>
        <w:t xml:space="preserve">                 </w:t>
      </w:r>
    </w:p>
    <w:p>
      <w:pPr>
        <w:spacing w:line="440" w:lineRule="exact"/>
        <w:ind w:firstLine="3240" w:firstLineChars="1350"/>
        <w:rPr>
          <w:rFonts w:ascii="宋体"/>
          <w:color w:val="auto"/>
          <w:sz w:val="24"/>
        </w:rPr>
      </w:pPr>
      <w:r>
        <w:rPr>
          <w:rFonts w:hint="eastAsia" w:ascii="宋体"/>
          <w:color w:val="auto"/>
          <w:sz w:val="24"/>
        </w:rPr>
        <w:t>通讯地址：</w:t>
      </w:r>
      <w:r>
        <w:rPr>
          <w:rFonts w:hint="eastAsia" w:ascii="宋体"/>
          <w:color w:val="auto"/>
          <w:sz w:val="24"/>
          <w:u w:val="single"/>
        </w:rPr>
        <w:t xml:space="preserve">                 </w:t>
      </w:r>
    </w:p>
    <w:p>
      <w:pPr>
        <w:spacing w:line="440" w:lineRule="exact"/>
        <w:ind w:firstLine="3240" w:firstLineChars="1350"/>
        <w:rPr>
          <w:rFonts w:ascii="宋体"/>
          <w:color w:val="auto"/>
          <w:sz w:val="24"/>
        </w:rPr>
      </w:pPr>
      <w:r>
        <w:rPr>
          <w:rFonts w:hint="eastAsia" w:ascii="宋体"/>
          <w:color w:val="auto"/>
          <w:sz w:val="24"/>
        </w:rPr>
        <w:t>电    话：</w:t>
      </w:r>
      <w:r>
        <w:rPr>
          <w:rFonts w:hint="eastAsia" w:ascii="宋体"/>
          <w:color w:val="auto"/>
          <w:sz w:val="24"/>
          <w:u w:val="single"/>
        </w:rPr>
        <w:t xml:space="preserve">                 </w:t>
      </w:r>
    </w:p>
    <w:p>
      <w:pPr>
        <w:spacing w:line="360" w:lineRule="exact"/>
        <w:rPr>
          <w:rFonts w:ascii="宋体"/>
          <w:b/>
          <w:color w:val="auto"/>
          <w:sz w:val="28"/>
          <w:szCs w:val="28"/>
        </w:rPr>
      </w:pPr>
    </w:p>
    <w:p>
      <w:pPr>
        <w:snapToGrid w:val="0"/>
        <w:spacing w:before="156" w:beforeLines="50" w:after="156" w:afterLines="50" w:line="440" w:lineRule="exact"/>
        <w:jc w:val="center"/>
        <w:rPr>
          <w:rFonts w:ascii="宋体" w:cs="宋体"/>
          <w:b/>
          <w:bCs/>
          <w:color w:val="auto"/>
          <w:sz w:val="28"/>
          <w:szCs w:val="28"/>
        </w:rPr>
      </w:pPr>
    </w:p>
    <w:p>
      <w:pPr>
        <w:snapToGrid w:val="0"/>
        <w:spacing w:before="156" w:beforeLines="50" w:after="156" w:afterLines="50" w:line="440" w:lineRule="exact"/>
        <w:jc w:val="center"/>
        <w:rPr>
          <w:rFonts w:ascii="宋体" w:cs="宋体"/>
          <w:b/>
          <w:bCs/>
          <w:color w:val="auto"/>
          <w:sz w:val="28"/>
          <w:szCs w:val="28"/>
        </w:rPr>
      </w:pPr>
    </w:p>
    <w:p>
      <w:pPr>
        <w:snapToGrid w:val="0"/>
        <w:spacing w:before="156" w:beforeLines="50" w:after="156" w:afterLines="50" w:line="440" w:lineRule="exact"/>
        <w:jc w:val="center"/>
        <w:rPr>
          <w:rFonts w:ascii="宋体" w:cs="宋体"/>
          <w:b/>
          <w:bCs/>
          <w:color w:val="auto"/>
          <w:sz w:val="28"/>
          <w:szCs w:val="28"/>
        </w:rPr>
      </w:pPr>
    </w:p>
    <w:p>
      <w:pPr>
        <w:snapToGrid w:val="0"/>
        <w:spacing w:before="156" w:beforeLines="50" w:after="156" w:afterLines="50" w:line="440" w:lineRule="exact"/>
        <w:jc w:val="center"/>
        <w:rPr>
          <w:rFonts w:ascii="宋体" w:cs="宋体"/>
          <w:b/>
          <w:bCs/>
          <w:color w:val="auto"/>
          <w:sz w:val="28"/>
          <w:szCs w:val="28"/>
        </w:rPr>
      </w:pPr>
    </w:p>
    <w:p>
      <w:pPr>
        <w:snapToGrid w:val="0"/>
        <w:spacing w:before="156" w:beforeLines="50" w:after="156" w:afterLines="50" w:line="440" w:lineRule="exact"/>
        <w:jc w:val="center"/>
        <w:rPr>
          <w:rFonts w:ascii="宋体" w:cs="宋体"/>
          <w:b/>
          <w:bCs/>
          <w:color w:val="auto"/>
          <w:sz w:val="28"/>
          <w:szCs w:val="28"/>
        </w:rPr>
      </w:pPr>
    </w:p>
    <w:p>
      <w:pPr>
        <w:snapToGrid w:val="0"/>
        <w:spacing w:before="156" w:beforeLines="50" w:after="156" w:afterLines="50" w:line="440" w:lineRule="exact"/>
        <w:jc w:val="center"/>
        <w:rPr>
          <w:rFonts w:ascii="宋体" w:cs="宋体"/>
          <w:b/>
          <w:bCs/>
          <w:color w:val="auto"/>
          <w:sz w:val="28"/>
          <w:szCs w:val="28"/>
        </w:rPr>
      </w:pPr>
    </w:p>
    <w:p>
      <w:pPr>
        <w:snapToGrid w:val="0"/>
        <w:spacing w:before="156" w:beforeLines="50" w:after="156" w:afterLines="50" w:line="440" w:lineRule="exact"/>
        <w:jc w:val="center"/>
        <w:rPr>
          <w:rFonts w:ascii="宋体" w:cs="宋体"/>
          <w:b/>
          <w:bCs/>
          <w:color w:val="auto"/>
          <w:sz w:val="28"/>
          <w:szCs w:val="28"/>
        </w:rPr>
      </w:pPr>
    </w:p>
    <w:p>
      <w:pPr>
        <w:snapToGrid w:val="0"/>
        <w:spacing w:before="156" w:beforeLines="50" w:after="156" w:afterLines="50" w:line="440" w:lineRule="exact"/>
        <w:jc w:val="center"/>
        <w:rPr>
          <w:rFonts w:ascii="宋体" w:cs="宋体"/>
          <w:b/>
          <w:bCs/>
          <w:color w:val="auto"/>
          <w:sz w:val="28"/>
          <w:szCs w:val="28"/>
        </w:rPr>
      </w:pPr>
      <w:r>
        <w:rPr>
          <w:rFonts w:hint="eastAsia" w:ascii="宋体" w:cs="宋体"/>
          <w:b/>
          <w:bCs/>
          <w:color w:val="auto"/>
          <w:sz w:val="28"/>
          <w:szCs w:val="28"/>
        </w:rPr>
        <w:t>分项报价清单</w:t>
      </w:r>
    </w:p>
    <w:tbl>
      <w:tblPr>
        <w:tblStyle w:val="51"/>
        <w:tblW w:w="9912" w:type="dxa"/>
        <w:tblInd w:w="-36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43"/>
        <w:gridCol w:w="2038"/>
        <w:gridCol w:w="1242"/>
        <w:gridCol w:w="784"/>
        <w:gridCol w:w="782"/>
        <w:gridCol w:w="898"/>
        <w:gridCol w:w="1368"/>
        <w:gridCol w:w="215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5" w:hRule="atLeast"/>
        </w:trPr>
        <w:tc>
          <w:tcPr>
            <w:tcW w:w="643" w:type="dxa"/>
            <w:vAlign w:val="center"/>
          </w:tcPr>
          <w:p>
            <w:pPr>
              <w:spacing w:line="300" w:lineRule="exact"/>
              <w:jc w:val="center"/>
              <w:rPr>
                <w:rFonts w:ascii="宋体" w:hAnsi="宋体"/>
                <w:color w:val="auto"/>
                <w:szCs w:val="21"/>
              </w:rPr>
            </w:pPr>
            <w:r>
              <w:rPr>
                <w:rFonts w:hint="eastAsia" w:ascii="宋体" w:hAnsi="宋体"/>
                <w:color w:val="auto"/>
                <w:szCs w:val="21"/>
              </w:rPr>
              <w:t>序号</w:t>
            </w:r>
          </w:p>
        </w:tc>
        <w:tc>
          <w:tcPr>
            <w:tcW w:w="2038" w:type="dxa"/>
            <w:tcBorders>
              <w:right w:val="single" w:color="auto" w:sz="4" w:space="0"/>
            </w:tcBorders>
            <w:vAlign w:val="center"/>
          </w:tcPr>
          <w:p>
            <w:pPr>
              <w:spacing w:line="300" w:lineRule="exact"/>
              <w:jc w:val="center"/>
              <w:rPr>
                <w:rFonts w:ascii="宋体" w:hAnsi="宋体"/>
                <w:color w:val="auto"/>
                <w:szCs w:val="21"/>
              </w:rPr>
            </w:pPr>
            <w:r>
              <w:rPr>
                <w:rFonts w:hint="eastAsia" w:ascii="宋体" w:hAnsi="宋体"/>
                <w:color w:val="auto"/>
                <w:szCs w:val="21"/>
              </w:rPr>
              <w:t>产品名称</w:t>
            </w:r>
          </w:p>
        </w:tc>
        <w:tc>
          <w:tcPr>
            <w:tcW w:w="1242" w:type="dxa"/>
            <w:tcBorders>
              <w:left w:val="single" w:color="auto" w:sz="4" w:space="0"/>
            </w:tcBorders>
            <w:vAlign w:val="center"/>
          </w:tcPr>
          <w:p>
            <w:pPr>
              <w:spacing w:line="300" w:lineRule="exact"/>
              <w:jc w:val="center"/>
              <w:rPr>
                <w:rFonts w:ascii="宋体" w:hAnsi="宋体"/>
                <w:color w:val="auto"/>
                <w:szCs w:val="21"/>
              </w:rPr>
            </w:pPr>
            <w:r>
              <w:rPr>
                <w:rFonts w:hint="eastAsia" w:ascii="宋体" w:hAnsi="宋体"/>
                <w:color w:val="auto"/>
                <w:szCs w:val="21"/>
              </w:rPr>
              <w:t>规格型号</w:t>
            </w:r>
          </w:p>
          <w:p>
            <w:pPr>
              <w:spacing w:line="300" w:lineRule="exact"/>
              <w:jc w:val="center"/>
              <w:rPr>
                <w:rFonts w:ascii="宋体" w:hAnsi="宋体"/>
                <w:color w:val="auto"/>
                <w:szCs w:val="21"/>
              </w:rPr>
            </w:pPr>
            <w:r>
              <w:rPr>
                <w:rFonts w:hint="eastAsia" w:ascii="宋体" w:hAnsi="宋体"/>
                <w:color w:val="auto"/>
                <w:szCs w:val="21"/>
              </w:rPr>
              <w:t>品牌（</w:t>
            </w:r>
            <w:r>
              <w:rPr>
                <w:rFonts w:hint="eastAsia" w:ascii="宋体"/>
                <w:color w:val="auto"/>
                <w:szCs w:val="21"/>
              </w:rPr>
              <w:t>生产厂家</w:t>
            </w:r>
            <w:r>
              <w:rPr>
                <w:rFonts w:hint="eastAsia" w:ascii="宋体" w:hAnsi="宋体"/>
                <w:color w:val="auto"/>
                <w:szCs w:val="21"/>
              </w:rPr>
              <w:t>）</w:t>
            </w:r>
          </w:p>
        </w:tc>
        <w:tc>
          <w:tcPr>
            <w:tcW w:w="784" w:type="dxa"/>
            <w:vAlign w:val="center"/>
          </w:tcPr>
          <w:p>
            <w:pPr>
              <w:spacing w:line="300" w:lineRule="exact"/>
              <w:jc w:val="center"/>
              <w:rPr>
                <w:rFonts w:ascii="宋体" w:hAnsi="宋体"/>
                <w:color w:val="auto"/>
                <w:szCs w:val="21"/>
              </w:rPr>
            </w:pPr>
            <w:r>
              <w:rPr>
                <w:rFonts w:hint="eastAsia" w:ascii="宋体" w:hAnsi="宋体"/>
                <w:color w:val="auto"/>
                <w:szCs w:val="21"/>
              </w:rPr>
              <w:t>单位</w:t>
            </w:r>
          </w:p>
        </w:tc>
        <w:tc>
          <w:tcPr>
            <w:tcW w:w="782" w:type="dxa"/>
            <w:vAlign w:val="center"/>
          </w:tcPr>
          <w:p>
            <w:pPr>
              <w:spacing w:line="300" w:lineRule="exact"/>
              <w:jc w:val="center"/>
              <w:rPr>
                <w:rFonts w:ascii="宋体" w:hAnsi="宋体"/>
                <w:color w:val="auto"/>
                <w:szCs w:val="21"/>
              </w:rPr>
            </w:pPr>
            <w:r>
              <w:rPr>
                <w:rFonts w:hint="eastAsia" w:ascii="宋体" w:hAnsi="宋体"/>
                <w:color w:val="auto"/>
                <w:szCs w:val="21"/>
              </w:rPr>
              <w:t>数量</w:t>
            </w:r>
          </w:p>
        </w:tc>
        <w:tc>
          <w:tcPr>
            <w:tcW w:w="898" w:type="dxa"/>
            <w:tcBorders>
              <w:left w:val="single" w:color="auto" w:sz="4" w:space="0"/>
            </w:tcBorders>
            <w:vAlign w:val="center"/>
          </w:tcPr>
          <w:p>
            <w:pPr>
              <w:spacing w:line="300" w:lineRule="exact"/>
              <w:jc w:val="center"/>
              <w:rPr>
                <w:rFonts w:ascii="宋体" w:hAnsi="宋体"/>
                <w:color w:val="auto"/>
                <w:szCs w:val="21"/>
              </w:rPr>
            </w:pPr>
            <w:r>
              <w:rPr>
                <w:rFonts w:hint="eastAsia" w:ascii="宋体" w:hAnsi="宋体"/>
                <w:color w:val="auto"/>
                <w:szCs w:val="21"/>
              </w:rPr>
              <w:t>单 价（元）</w:t>
            </w:r>
          </w:p>
        </w:tc>
        <w:tc>
          <w:tcPr>
            <w:tcW w:w="1368" w:type="dxa"/>
            <w:vAlign w:val="center"/>
          </w:tcPr>
          <w:p>
            <w:pPr>
              <w:spacing w:line="300" w:lineRule="exact"/>
              <w:jc w:val="center"/>
              <w:rPr>
                <w:rFonts w:ascii="宋体" w:hAnsi="宋体"/>
                <w:color w:val="auto"/>
                <w:szCs w:val="21"/>
              </w:rPr>
            </w:pPr>
            <w:r>
              <w:rPr>
                <w:rFonts w:hint="eastAsia" w:ascii="宋体" w:hAnsi="宋体"/>
                <w:color w:val="auto"/>
                <w:szCs w:val="21"/>
              </w:rPr>
              <w:t>合 价（元）</w:t>
            </w:r>
          </w:p>
        </w:tc>
        <w:tc>
          <w:tcPr>
            <w:tcW w:w="2157" w:type="dxa"/>
            <w:vAlign w:val="center"/>
          </w:tcPr>
          <w:p>
            <w:pPr>
              <w:spacing w:line="300" w:lineRule="exact"/>
              <w:ind w:left="-80" w:leftChars="-38" w:right="-94" w:rightChars="-45"/>
              <w:jc w:val="center"/>
              <w:rPr>
                <w:rFonts w:ascii="宋体" w:hAnsi="宋体"/>
                <w:color w:val="auto"/>
                <w:szCs w:val="21"/>
              </w:rPr>
            </w:pPr>
            <w:r>
              <w:rPr>
                <w:rFonts w:hint="eastAsia" w:ascii="宋体" w:hAnsi="宋体"/>
                <w:color w:val="auto"/>
                <w:szCs w:val="21"/>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643" w:type="dxa"/>
          </w:tcPr>
          <w:p>
            <w:pPr>
              <w:textAlignment w:val="baseline"/>
              <w:rPr>
                <w:rFonts w:ascii="宋体" w:hAnsi="宋体"/>
                <w:color w:val="auto"/>
                <w:szCs w:val="21"/>
              </w:rPr>
            </w:pPr>
            <w:r>
              <w:rPr>
                <w:rFonts w:hint="eastAsia" w:ascii="宋体" w:hAnsi="宋体"/>
                <w:color w:val="auto"/>
                <w:szCs w:val="21"/>
              </w:rPr>
              <w:t>1</w:t>
            </w:r>
          </w:p>
        </w:tc>
        <w:tc>
          <w:tcPr>
            <w:tcW w:w="2038" w:type="dxa"/>
            <w:tcBorders>
              <w:right w:val="single" w:color="auto" w:sz="4" w:space="0"/>
            </w:tcBorders>
            <w:vAlign w:val="center"/>
          </w:tcPr>
          <w:p>
            <w:pPr>
              <w:widowControl/>
              <w:spacing w:line="360" w:lineRule="auto"/>
              <w:jc w:val="center"/>
              <w:textAlignment w:val="center"/>
              <w:rPr>
                <w:rFonts w:ascii="宋体" w:hAnsi="宋体"/>
                <w:color w:val="auto"/>
                <w:sz w:val="24"/>
              </w:rPr>
            </w:pPr>
          </w:p>
        </w:tc>
        <w:tc>
          <w:tcPr>
            <w:tcW w:w="1242" w:type="dxa"/>
            <w:tcBorders>
              <w:left w:val="single" w:color="auto" w:sz="4" w:space="0"/>
            </w:tcBorders>
            <w:vAlign w:val="center"/>
          </w:tcPr>
          <w:p>
            <w:pPr>
              <w:spacing w:line="300" w:lineRule="exact"/>
              <w:jc w:val="center"/>
              <w:rPr>
                <w:rFonts w:ascii="宋体" w:hAnsi="宋体"/>
                <w:color w:val="auto"/>
                <w:sz w:val="24"/>
              </w:rPr>
            </w:pPr>
          </w:p>
        </w:tc>
        <w:tc>
          <w:tcPr>
            <w:tcW w:w="784" w:type="dxa"/>
            <w:vAlign w:val="center"/>
          </w:tcPr>
          <w:p>
            <w:pPr>
              <w:widowControl/>
              <w:spacing w:line="360" w:lineRule="auto"/>
              <w:jc w:val="center"/>
              <w:textAlignment w:val="center"/>
              <w:rPr>
                <w:rFonts w:ascii="宋体" w:hAnsi="宋体"/>
                <w:color w:val="auto"/>
                <w:sz w:val="24"/>
              </w:rPr>
            </w:pPr>
          </w:p>
        </w:tc>
        <w:tc>
          <w:tcPr>
            <w:tcW w:w="782" w:type="dxa"/>
            <w:vAlign w:val="center"/>
          </w:tcPr>
          <w:p>
            <w:pPr>
              <w:widowControl/>
              <w:spacing w:line="360" w:lineRule="auto"/>
              <w:jc w:val="center"/>
              <w:textAlignment w:val="center"/>
              <w:rPr>
                <w:rFonts w:ascii="宋体" w:hAnsi="宋体"/>
                <w:color w:val="auto"/>
                <w:sz w:val="24"/>
              </w:rPr>
            </w:pPr>
          </w:p>
        </w:tc>
        <w:tc>
          <w:tcPr>
            <w:tcW w:w="898" w:type="dxa"/>
            <w:tcBorders>
              <w:left w:val="single" w:color="auto" w:sz="4" w:space="0"/>
            </w:tcBorders>
            <w:vAlign w:val="center"/>
          </w:tcPr>
          <w:p>
            <w:pPr>
              <w:spacing w:line="300" w:lineRule="exact"/>
              <w:rPr>
                <w:rFonts w:ascii="宋体" w:hAnsi="宋体"/>
                <w:color w:val="auto"/>
                <w:sz w:val="24"/>
              </w:rPr>
            </w:pPr>
          </w:p>
        </w:tc>
        <w:tc>
          <w:tcPr>
            <w:tcW w:w="1368" w:type="dxa"/>
            <w:vAlign w:val="center"/>
          </w:tcPr>
          <w:p>
            <w:pPr>
              <w:spacing w:line="300" w:lineRule="exact"/>
              <w:rPr>
                <w:rFonts w:ascii="宋体" w:hAnsi="宋体"/>
                <w:color w:val="auto"/>
                <w:sz w:val="24"/>
              </w:rPr>
            </w:pPr>
          </w:p>
        </w:tc>
        <w:tc>
          <w:tcPr>
            <w:tcW w:w="2157" w:type="dxa"/>
          </w:tcPr>
          <w:p>
            <w:pPr>
              <w:spacing w:line="300" w:lineRule="exact"/>
              <w:rPr>
                <w:rFonts w:ascii="宋体" w:hAnsi="宋体"/>
                <w:color w:val="auto"/>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643" w:type="dxa"/>
          </w:tcPr>
          <w:p>
            <w:pPr>
              <w:textAlignment w:val="baseline"/>
              <w:rPr>
                <w:rFonts w:ascii="宋体" w:hAnsi="宋体"/>
                <w:color w:val="auto"/>
                <w:szCs w:val="21"/>
              </w:rPr>
            </w:pPr>
            <w:r>
              <w:rPr>
                <w:rFonts w:hint="eastAsia" w:ascii="宋体" w:hAnsi="宋体"/>
                <w:color w:val="auto"/>
                <w:szCs w:val="21"/>
              </w:rPr>
              <w:t>2</w:t>
            </w:r>
          </w:p>
        </w:tc>
        <w:tc>
          <w:tcPr>
            <w:tcW w:w="2038" w:type="dxa"/>
            <w:tcBorders>
              <w:right w:val="single" w:color="auto" w:sz="4" w:space="0"/>
            </w:tcBorders>
            <w:vAlign w:val="center"/>
          </w:tcPr>
          <w:p>
            <w:pPr>
              <w:widowControl/>
              <w:spacing w:line="360" w:lineRule="auto"/>
              <w:jc w:val="center"/>
              <w:textAlignment w:val="center"/>
              <w:rPr>
                <w:rFonts w:ascii="宋体" w:hAnsi="宋体"/>
                <w:color w:val="auto"/>
                <w:sz w:val="24"/>
              </w:rPr>
            </w:pPr>
          </w:p>
        </w:tc>
        <w:tc>
          <w:tcPr>
            <w:tcW w:w="1242" w:type="dxa"/>
            <w:tcBorders>
              <w:left w:val="single" w:color="auto" w:sz="4" w:space="0"/>
            </w:tcBorders>
            <w:vAlign w:val="center"/>
          </w:tcPr>
          <w:p>
            <w:pPr>
              <w:spacing w:line="300" w:lineRule="exact"/>
              <w:jc w:val="center"/>
              <w:rPr>
                <w:rFonts w:ascii="宋体" w:hAnsi="宋体"/>
                <w:color w:val="auto"/>
                <w:sz w:val="24"/>
              </w:rPr>
            </w:pPr>
          </w:p>
        </w:tc>
        <w:tc>
          <w:tcPr>
            <w:tcW w:w="784" w:type="dxa"/>
            <w:vAlign w:val="center"/>
          </w:tcPr>
          <w:p>
            <w:pPr>
              <w:widowControl/>
              <w:spacing w:line="360" w:lineRule="auto"/>
              <w:jc w:val="center"/>
              <w:textAlignment w:val="center"/>
              <w:rPr>
                <w:rFonts w:ascii="宋体" w:hAnsi="宋体"/>
                <w:color w:val="auto"/>
                <w:sz w:val="24"/>
              </w:rPr>
            </w:pPr>
          </w:p>
        </w:tc>
        <w:tc>
          <w:tcPr>
            <w:tcW w:w="782" w:type="dxa"/>
            <w:vAlign w:val="center"/>
          </w:tcPr>
          <w:p>
            <w:pPr>
              <w:widowControl/>
              <w:spacing w:line="360" w:lineRule="auto"/>
              <w:jc w:val="center"/>
              <w:textAlignment w:val="center"/>
              <w:rPr>
                <w:rFonts w:ascii="宋体" w:hAnsi="宋体"/>
                <w:color w:val="auto"/>
                <w:sz w:val="24"/>
              </w:rPr>
            </w:pPr>
          </w:p>
        </w:tc>
        <w:tc>
          <w:tcPr>
            <w:tcW w:w="898" w:type="dxa"/>
            <w:tcBorders>
              <w:left w:val="single" w:color="auto" w:sz="4" w:space="0"/>
            </w:tcBorders>
            <w:vAlign w:val="center"/>
          </w:tcPr>
          <w:p>
            <w:pPr>
              <w:spacing w:line="300" w:lineRule="exact"/>
              <w:rPr>
                <w:rFonts w:ascii="宋体" w:hAnsi="宋体"/>
                <w:color w:val="auto"/>
                <w:sz w:val="24"/>
              </w:rPr>
            </w:pPr>
          </w:p>
        </w:tc>
        <w:tc>
          <w:tcPr>
            <w:tcW w:w="1368" w:type="dxa"/>
            <w:vAlign w:val="center"/>
          </w:tcPr>
          <w:p>
            <w:pPr>
              <w:spacing w:line="300" w:lineRule="exact"/>
              <w:rPr>
                <w:rFonts w:ascii="宋体" w:hAnsi="宋体"/>
                <w:color w:val="auto"/>
                <w:sz w:val="24"/>
              </w:rPr>
            </w:pPr>
          </w:p>
        </w:tc>
        <w:tc>
          <w:tcPr>
            <w:tcW w:w="2157" w:type="dxa"/>
          </w:tcPr>
          <w:p>
            <w:pPr>
              <w:spacing w:line="300" w:lineRule="exact"/>
              <w:rPr>
                <w:rFonts w:ascii="宋体" w:hAnsi="宋体"/>
                <w:color w:val="auto"/>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643" w:type="dxa"/>
          </w:tcPr>
          <w:p>
            <w:pPr>
              <w:textAlignment w:val="baseline"/>
              <w:rPr>
                <w:rFonts w:ascii="宋体" w:hAnsi="宋体"/>
                <w:color w:val="auto"/>
                <w:szCs w:val="21"/>
              </w:rPr>
            </w:pPr>
            <w:r>
              <w:rPr>
                <w:rFonts w:hint="eastAsia" w:ascii="宋体" w:hAnsi="宋体"/>
                <w:color w:val="auto"/>
                <w:szCs w:val="21"/>
              </w:rPr>
              <w:t>...</w:t>
            </w:r>
          </w:p>
        </w:tc>
        <w:tc>
          <w:tcPr>
            <w:tcW w:w="2038" w:type="dxa"/>
            <w:tcBorders>
              <w:right w:val="single" w:color="auto" w:sz="4" w:space="0"/>
            </w:tcBorders>
            <w:vAlign w:val="center"/>
          </w:tcPr>
          <w:p>
            <w:pPr>
              <w:widowControl/>
              <w:spacing w:line="360" w:lineRule="auto"/>
              <w:jc w:val="center"/>
              <w:textAlignment w:val="center"/>
              <w:rPr>
                <w:rFonts w:ascii="宋体" w:hAnsi="宋体"/>
                <w:color w:val="auto"/>
                <w:sz w:val="24"/>
              </w:rPr>
            </w:pPr>
          </w:p>
        </w:tc>
        <w:tc>
          <w:tcPr>
            <w:tcW w:w="1242" w:type="dxa"/>
            <w:tcBorders>
              <w:left w:val="single" w:color="auto" w:sz="4" w:space="0"/>
            </w:tcBorders>
            <w:vAlign w:val="center"/>
          </w:tcPr>
          <w:p>
            <w:pPr>
              <w:spacing w:line="300" w:lineRule="exact"/>
              <w:jc w:val="center"/>
              <w:rPr>
                <w:rFonts w:ascii="宋体" w:hAnsi="宋体"/>
                <w:color w:val="auto"/>
                <w:sz w:val="24"/>
              </w:rPr>
            </w:pPr>
          </w:p>
        </w:tc>
        <w:tc>
          <w:tcPr>
            <w:tcW w:w="784" w:type="dxa"/>
            <w:vAlign w:val="center"/>
          </w:tcPr>
          <w:p>
            <w:pPr>
              <w:widowControl/>
              <w:spacing w:line="360" w:lineRule="auto"/>
              <w:jc w:val="center"/>
              <w:textAlignment w:val="center"/>
              <w:rPr>
                <w:rFonts w:ascii="宋体" w:hAnsi="宋体"/>
                <w:color w:val="auto"/>
                <w:sz w:val="24"/>
              </w:rPr>
            </w:pPr>
          </w:p>
        </w:tc>
        <w:tc>
          <w:tcPr>
            <w:tcW w:w="782" w:type="dxa"/>
            <w:vAlign w:val="center"/>
          </w:tcPr>
          <w:p>
            <w:pPr>
              <w:widowControl/>
              <w:spacing w:line="360" w:lineRule="auto"/>
              <w:jc w:val="center"/>
              <w:textAlignment w:val="center"/>
              <w:rPr>
                <w:rFonts w:ascii="宋体" w:hAnsi="宋体"/>
                <w:color w:val="auto"/>
                <w:sz w:val="24"/>
              </w:rPr>
            </w:pPr>
          </w:p>
        </w:tc>
        <w:tc>
          <w:tcPr>
            <w:tcW w:w="898" w:type="dxa"/>
            <w:tcBorders>
              <w:left w:val="single" w:color="auto" w:sz="4" w:space="0"/>
            </w:tcBorders>
            <w:vAlign w:val="center"/>
          </w:tcPr>
          <w:p>
            <w:pPr>
              <w:spacing w:line="300" w:lineRule="exact"/>
              <w:rPr>
                <w:rFonts w:ascii="宋体" w:hAnsi="宋体"/>
                <w:color w:val="auto"/>
                <w:sz w:val="24"/>
              </w:rPr>
            </w:pPr>
          </w:p>
        </w:tc>
        <w:tc>
          <w:tcPr>
            <w:tcW w:w="1368" w:type="dxa"/>
            <w:vAlign w:val="center"/>
          </w:tcPr>
          <w:p>
            <w:pPr>
              <w:spacing w:line="300" w:lineRule="exact"/>
              <w:rPr>
                <w:rFonts w:ascii="宋体" w:hAnsi="宋体"/>
                <w:color w:val="auto"/>
                <w:sz w:val="24"/>
              </w:rPr>
            </w:pPr>
          </w:p>
        </w:tc>
        <w:tc>
          <w:tcPr>
            <w:tcW w:w="2157" w:type="dxa"/>
          </w:tcPr>
          <w:p>
            <w:pPr>
              <w:spacing w:line="300" w:lineRule="exact"/>
              <w:rPr>
                <w:rFonts w:ascii="宋体" w:hAnsi="宋体"/>
                <w:color w:val="auto"/>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912" w:type="dxa"/>
            <w:gridSpan w:val="8"/>
          </w:tcPr>
          <w:p>
            <w:pPr>
              <w:spacing w:line="300" w:lineRule="exact"/>
              <w:rPr>
                <w:rFonts w:ascii="宋体" w:hAnsi="宋体"/>
                <w:color w:val="auto"/>
                <w:sz w:val="24"/>
              </w:rPr>
            </w:pPr>
            <w:r>
              <w:rPr>
                <w:rFonts w:hint="eastAsia" w:ascii="宋体" w:hAnsi="宋体"/>
                <w:b/>
                <w:color w:val="auto"/>
                <w:sz w:val="24"/>
              </w:rPr>
              <w:t>投标报价（1+2+...）：</w:t>
            </w:r>
            <w:r>
              <w:rPr>
                <w:rFonts w:hint="eastAsia" w:ascii="宋体" w:hAnsi="宋体"/>
                <w:b/>
                <w:color w:val="auto"/>
                <w:sz w:val="24"/>
                <w:u w:val="single"/>
              </w:rPr>
              <w:t xml:space="preserve">               </w:t>
            </w:r>
            <w:r>
              <w:rPr>
                <w:rFonts w:hint="eastAsia" w:ascii="宋体" w:hAnsi="宋体"/>
                <w:b/>
                <w:color w:val="auto"/>
                <w:sz w:val="24"/>
              </w:rPr>
              <w:t>元；小写：</w:t>
            </w:r>
            <w:r>
              <w:rPr>
                <w:rFonts w:hint="eastAsia" w:ascii="宋体" w:hAnsi="宋体"/>
                <w:b/>
                <w:color w:val="auto"/>
                <w:sz w:val="24"/>
                <w:u w:val="single"/>
              </w:rPr>
              <w:t xml:space="preserve">         </w:t>
            </w:r>
            <w:r>
              <w:rPr>
                <w:rFonts w:hint="eastAsia" w:ascii="宋体" w:hAnsi="宋体"/>
                <w:b/>
                <w:color w:val="auto"/>
                <w:sz w:val="24"/>
              </w:rPr>
              <w:t xml:space="preserve"> 元；（填入投标函和开标一览表）</w:t>
            </w:r>
          </w:p>
        </w:tc>
      </w:tr>
    </w:tbl>
    <w:p>
      <w:pPr>
        <w:spacing w:line="500" w:lineRule="exact"/>
        <w:ind w:firstLine="420" w:firstLineChars="200"/>
        <w:jc w:val="left"/>
        <w:rPr>
          <w:color w:val="auto"/>
          <w:lang w:val="zh-CN"/>
        </w:rPr>
      </w:pPr>
      <w:r>
        <w:rPr>
          <w:rFonts w:hint="eastAsia"/>
          <w:color w:val="auto"/>
          <w:lang w:val="zh-CN"/>
        </w:rPr>
        <w:t>注：1.所有投标只能选择一种方案，单价和合价的报价只能是唯一，且须列出详细的分项报价。（与采购清单项相一致，不得缺项，否则视同包含在其他项目。）</w:t>
      </w:r>
    </w:p>
    <w:p>
      <w:pPr>
        <w:spacing w:line="500" w:lineRule="exact"/>
        <w:ind w:firstLine="420" w:firstLineChars="200"/>
        <w:jc w:val="left"/>
        <w:rPr>
          <w:color w:val="auto"/>
          <w:lang w:val="zh-CN"/>
        </w:rPr>
      </w:pPr>
      <w:r>
        <w:rPr>
          <w:rFonts w:hint="eastAsia"/>
          <w:color w:val="auto"/>
        </w:rPr>
        <w:t>2.</w:t>
      </w:r>
      <w:r>
        <w:rPr>
          <w:rFonts w:hint="eastAsia"/>
          <w:color w:val="auto"/>
          <w:lang w:val="zh-CN"/>
        </w:rPr>
        <w:t>投标报价采用综合单价法，综合单价包括完成招标文件</w:t>
      </w:r>
      <w:r>
        <w:rPr>
          <w:rFonts w:hint="eastAsia"/>
          <w:color w:val="auto"/>
        </w:rPr>
        <w:t>和采购配置清单</w:t>
      </w:r>
      <w:r>
        <w:rPr>
          <w:rFonts w:hint="eastAsia"/>
          <w:color w:val="auto"/>
          <w:lang w:val="zh-CN"/>
        </w:rPr>
        <w:t>要求的</w:t>
      </w:r>
      <w:r>
        <w:rPr>
          <w:rFonts w:hint="eastAsia"/>
          <w:color w:val="auto"/>
        </w:rPr>
        <w:t>所有货物及相关</w:t>
      </w:r>
      <w:r>
        <w:rPr>
          <w:rFonts w:hint="eastAsia"/>
          <w:color w:val="auto"/>
          <w:lang w:val="zh-CN"/>
        </w:rPr>
        <w:t>服务内容所包含的一切应有费用，综合单价今后将不作任何调整。</w:t>
      </w:r>
    </w:p>
    <w:p>
      <w:pPr>
        <w:spacing w:line="500" w:lineRule="exact"/>
        <w:ind w:firstLine="420" w:firstLineChars="200"/>
        <w:jc w:val="left"/>
        <w:rPr>
          <w:color w:val="auto"/>
        </w:rPr>
      </w:pPr>
    </w:p>
    <w:p>
      <w:pPr>
        <w:spacing w:line="500" w:lineRule="exact"/>
        <w:jc w:val="center"/>
        <w:rPr>
          <w:rFonts w:ascii="宋体"/>
          <w:color w:val="auto"/>
          <w:sz w:val="24"/>
        </w:rPr>
      </w:pPr>
      <w:r>
        <w:rPr>
          <w:rFonts w:hint="eastAsia" w:ascii="宋体"/>
          <w:color w:val="auto"/>
          <w:sz w:val="24"/>
        </w:rPr>
        <w:t xml:space="preserve">                                              投标人名称（签章）：</w:t>
      </w:r>
      <w:r>
        <w:rPr>
          <w:rFonts w:hint="eastAsia" w:ascii="宋体"/>
          <w:color w:val="auto"/>
          <w:sz w:val="24"/>
          <w:u w:val="single"/>
        </w:rPr>
        <w:t xml:space="preserve">                         </w:t>
      </w:r>
    </w:p>
    <w:p>
      <w:pPr>
        <w:spacing w:line="500" w:lineRule="exact"/>
        <w:jc w:val="center"/>
        <w:rPr>
          <w:rFonts w:ascii="宋体"/>
          <w:color w:val="auto"/>
          <w:sz w:val="24"/>
          <w:u w:val="single"/>
        </w:rPr>
      </w:pPr>
      <w:r>
        <w:rPr>
          <w:rFonts w:hint="eastAsia" w:ascii="宋体"/>
          <w:color w:val="auto"/>
          <w:sz w:val="24"/>
        </w:rPr>
        <w:t xml:space="preserve">                                             法定代表人 (签字或盖章)：</w:t>
      </w:r>
      <w:r>
        <w:rPr>
          <w:rFonts w:hint="eastAsia" w:ascii="宋体"/>
          <w:color w:val="auto"/>
          <w:sz w:val="24"/>
          <w:u w:val="single"/>
        </w:rPr>
        <w:t xml:space="preserve">                               </w:t>
      </w:r>
    </w:p>
    <w:p>
      <w:pPr>
        <w:spacing w:line="500" w:lineRule="exact"/>
        <w:jc w:val="center"/>
        <w:rPr>
          <w:rFonts w:ascii="宋体"/>
          <w:color w:val="auto"/>
          <w:sz w:val="24"/>
          <w:u w:val="single"/>
        </w:rPr>
      </w:pPr>
    </w:p>
    <w:p>
      <w:pPr>
        <w:spacing w:line="500" w:lineRule="exact"/>
        <w:ind w:firstLine="5760" w:firstLineChars="2400"/>
        <w:jc w:val="left"/>
        <w:rPr>
          <w:rFonts w:ascii="宋体"/>
          <w:color w:val="auto"/>
          <w:sz w:val="24"/>
        </w:rPr>
      </w:pPr>
      <w:r>
        <w:rPr>
          <w:rFonts w:hint="eastAsia" w:ascii="宋体"/>
          <w:color w:val="auto"/>
          <w:sz w:val="24"/>
        </w:rPr>
        <w:t xml:space="preserve">日期：    年   月  日 </w:t>
      </w:r>
    </w:p>
    <w:p>
      <w:pPr>
        <w:spacing w:line="380" w:lineRule="exact"/>
        <w:ind w:firstLine="646" w:firstLineChars="202"/>
        <w:jc w:val="center"/>
        <w:rPr>
          <w:rFonts w:ascii="宋体"/>
          <w:color w:val="auto"/>
          <w:sz w:val="32"/>
          <w:szCs w:val="32"/>
        </w:rPr>
      </w:pPr>
    </w:p>
    <w:p>
      <w:pPr>
        <w:spacing w:line="500" w:lineRule="exact"/>
        <w:rPr>
          <w:rFonts w:ascii="宋体"/>
          <w:b/>
          <w:color w:val="auto"/>
          <w:sz w:val="36"/>
          <w:szCs w:val="36"/>
        </w:rPr>
      </w:pPr>
      <w:r>
        <w:rPr>
          <w:rFonts w:ascii="宋体"/>
          <w:b/>
          <w:color w:val="auto"/>
          <w:sz w:val="36"/>
          <w:szCs w:val="36"/>
        </w:rPr>
        <w:t>附</w:t>
      </w:r>
      <w:r>
        <w:rPr>
          <w:rFonts w:hint="eastAsia" w:ascii="宋体"/>
          <w:b/>
          <w:color w:val="auto"/>
          <w:sz w:val="36"/>
          <w:szCs w:val="36"/>
        </w:rPr>
        <w:t>：</w:t>
      </w:r>
      <w:r>
        <w:rPr>
          <w:rFonts w:ascii="宋体"/>
          <w:b/>
          <w:color w:val="auto"/>
          <w:sz w:val="36"/>
          <w:szCs w:val="36"/>
        </w:rPr>
        <w:t>政务云配置清单</w:t>
      </w:r>
      <w:r>
        <w:rPr>
          <w:rFonts w:hint="eastAsia" w:ascii="宋体"/>
          <w:b/>
          <w:color w:val="auto"/>
          <w:sz w:val="36"/>
          <w:szCs w:val="36"/>
        </w:rPr>
        <w:t>及报价</w:t>
      </w:r>
    </w:p>
    <w:p>
      <w:pPr>
        <w:spacing w:line="500" w:lineRule="exact"/>
        <w:jc w:val="center"/>
        <w:rPr>
          <w:rFonts w:ascii="宋体"/>
          <w:b/>
          <w:color w:val="auto"/>
          <w:sz w:val="36"/>
          <w:szCs w:val="36"/>
        </w:rPr>
      </w:pPr>
    </w:p>
    <w:p>
      <w:pPr>
        <w:spacing w:line="500" w:lineRule="exact"/>
        <w:jc w:val="center"/>
        <w:rPr>
          <w:rFonts w:ascii="宋体"/>
          <w:b/>
          <w:color w:val="auto"/>
          <w:sz w:val="36"/>
          <w:szCs w:val="36"/>
        </w:rPr>
      </w:pPr>
    </w:p>
    <w:p>
      <w:pPr>
        <w:spacing w:line="500" w:lineRule="exact"/>
        <w:jc w:val="center"/>
        <w:rPr>
          <w:rFonts w:ascii="宋体"/>
          <w:b/>
          <w:color w:val="auto"/>
          <w:sz w:val="36"/>
          <w:szCs w:val="36"/>
        </w:rPr>
      </w:pPr>
    </w:p>
    <w:p>
      <w:pPr>
        <w:spacing w:line="500" w:lineRule="exact"/>
        <w:jc w:val="center"/>
        <w:rPr>
          <w:rFonts w:ascii="宋体"/>
          <w:b/>
          <w:color w:val="auto"/>
          <w:sz w:val="36"/>
          <w:szCs w:val="36"/>
        </w:rPr>
      </w:pPr>
      <w:r>
        <w:rPr>
          <w:rFonts w:hint="eastAsia" w:ascii="宋体"/>
          <w:b/>
          <w:color w:val="auto"/>
          <w:sz w:val="36"/>
          <w:szCs w:val="36"/>
        </w:rPr>
        <w:t>投标人认为需要提供的其他材料（如有）</w:t>
      </w:r>
    </w:p>
    <w:bookmarkEnd w:id="594"/>
    <w:bookmarkEnd w:id="595"/>
    <w:bookmarkEnd w:id="596"/>
    <w:bookmarkEnd w:id="597"/>
    <w:bookmarkEnd w:id="598"/>
    <w:bookmarkEnd w:id="599"/>
    <w:bookmarkEnd w:id="600"/>
    <w:bookmarkEnd w:id="601"/>
    <w:p>
      <w:pPr>
        <w:pStyle w:val="2"/>
        <w:rPr>
          <w:color w:val="auto"/>
          <w:sz w:val="30"/>
          <w:szCs w:val="30"/>
        </w:rPr>
      </w:pPr>
      <w:bookmarkStart w:id="740" w:name="_Toc35864597"/>
      <w:bookmarkStart w:id="741" w:name="_Toc150"/>
      <w:bookmarkStart w:id="742" w:name="_Toc7702"/>
      <w:bookmarkStart w:id="743" w:name="_Toc14229"/>
      <w:bookmarkStart w:id="744" w:name="_Toc29328_WPSOffice_Level1"/>
      <w:bookmarkStart w:id="745" w:name="_Toc19487_WPSOffice_Level1"/>
      <w:bookmarkStart w:id="746" w:name="_Toc11858"/>
      <w:r>
        <w:rPr>
          <w:rFonts w:hint="eastAsia"/>
          <w:color w:val="auto"/>
          <w:sz w:val="30"/>
          <w:szCs w:val="30"/>
        </w:rPr>
        <w:t>第六章 招标单位、代理机构对本招标文件的确认</w:t>
      </w:r>
      <w:bookmarkEnd w:id="740"/>
      <w:bookmarkEnd w:id="741"/>
      <w:bookmarkEnd w:id="742"/>
      <w:bookmarkEnd w:id="743"/>
      <w:bookmarkEnd w:id="744"/>
      <w:bookmarkEnd w:id="745"/>
      <w:bookmarkEnd w:id="746"/>
    </w:p>
    <w:tbl>
      <w:tblPr>
        <w:tblStyle w:val="51"/>
        <w:tblW w:w="9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9" w:hRule="atLeast"/>
          <w:jc w:val="center"/>
        </w:trPr>
        <w:tc>
          <w:tcPr>
            <w:tcW w:w="9880" w:type="dxa"/>
          </w:tcPr>
          <w:p>
            <w:pPr>
              <w:adjustRightInd w:val="0"/>
              <w:snapToGrid w:val="0"/>
              <w:spacing w:line="560" w:lineRule="exact"/>
              <w:rPr>
                <w:rFonts w:ascii="宋体" w:cs="宋体"/>
                <w:color w:val="auto"/>
                <w:sz w:val="28"/>
                <w:szCs w:val="28"/>
              </w:rPr>
            </w:pPr>
          </w:p>
          <w:p>
            <w:pPr>
              <w:widowControl/>
              <w:spacing w:line="360" w:lineRule="auto"/>
              <w:ind w:firstLine="600"/>
              <w:jc w:val="left"/>
              <w:rPr>
                <w:rFonts w:ascii="宋体" w:cs="宋体"/>
                <w:color w:val="auto"/>
                <w:sz w:val="28"/>
                <w:szCs w:val="28"/>
              </w:rPr>
            </w:pPr>
            <w:r>
              <w:rPr>
                <w:rFonts w:hint="eastAsia" w:ascii="宋体" w:hAnsi="宋体" w:cs="宋体"/>
                <w:color w:val="auto"/>
                <w:sz w:val="28"/>
                <w:szCs w:val="28"/>
              </w:rPr>
              <w:t>我单位对</w:t>
            </w:r>
            <w:r>
              <w:rPr>
                <w:rFonts w:hint="eastAsia" w:ascii="宋体" w:hAnsi="宋体" w:cs="宋体"/>
                <w:color w:val="auto"/>
                <w:sz w:val="28"/>
                <w:szCs w:val="28"/>
                <w:u w:val="single"/>
              </w:rPr>
              <w:t xml:space="preserve">  滁州市第二人民医院协同办公平台及政务云存储服务项目  </w:t>
            </w:r>
            <w:r>
              <w:rPr>
                <w:rFonts w:hint="eastAsia" w:ascii="宋体" w:hAnsi="宋体" w:cs="宋体"/>
                <w:color w:val="auto"/>
                <w:sz w:val="28"/>
                <w:szCs w:val="28"/>
              </w:rPr>
              <w:t>的招标文件进行确认。</w:t>
            </w:r>
          </w:p>
          <w:p>
            <w:pPr>
              <w:adjustRightInd w:val="0"/>
              <w:snapToGrid w:val="0"/>
              <w:spacing w:line="560" w:lineRule="exact"/>
              <w:ind w:firstLine="560" w:firstLineChars="200"/>
              <w:rPr>
                <w:rFonts w:ascii="宋体" w:hAnsi="宋体"/>
                <w:color w:val="auto"/>
                <w:sz w:val="28"/>
                <w:szCs w:val="28"/>
              </w:rPr>
            </w:pPr>
            <w:r>
              <w:rPr>
                <w:rFonts w:hint="eastAsia" w:ascii="宋体" w:hAnsi="宋体"/>
                <w:color w:val="auto"/>
                <w:sz w:val="28"/>
                <w:szCs w:val="28"/>
              </w:rPr>
              <w:t>招标人：</w:t>
            </w:r>
            <w:r>
              <w:rPr>
                <w:rFonts w:hint="eastAsia" w:hAnsi="宋体" w:cs="宋体"/>
                <w:color w:val="auto"/>
                <w:sz w:val="28"/>
                <w:szCs w:val="28"/>
                <w:shd w:val="clear" w:color="auto" w:fill="FFFFFF"/>
              </w:rPr>
              <w:t>滁州市第二人民医院（市传染病医院、市精神病医院）</w:t>
            </w:r>
            <w:r>
              <w:rPr>
                <w:rFonts w:hint="eastAsia" w:ascii="宋体" w:hAnsi="宋体"/>
                <w:color w:val="auto"/>
                <w:sz w:val="28"/>
                <w:szCs w:val="28"/>
              </w:rPr>
              <w:t xml:space="preserve"> </w:t>
            </w:r>
          </w:p>
          <w:p>
            <w:pPr>
              <w:adjustRightInd w:val="0"/>
              <w:snapToGrid w:val="0"/>
              <w:spacing w:line="560" w:lineRule="exact"/>
              <w:ind w:firstLine="560" w:firstLineChars="200"/>
              <w:rPr>
                <w:rFonts w:ascii="宋体" w:hAnsi="宋体"/>
                <w:color w:val="auto"/>
                <w:sz w:val="28"/>
                <w:szCs w:val="28"/>
              </w:rPr>
            </w:pPr>
            <w:r>
              <w:rPr>
                <w:rFonts w:hint="eastAsia" w:ascii="宋体" w:hAnsi="宋体"/>
                <w:color w:val="auto"/>
                <w:sz w:val="28"/>
                <w:szCs w:val="28"/>
              </w:rPr>
              <w:t>联系</w:t>
            </w:r>
            <w:r>
              <w:rPr>
                <w:rFonts w:hint="eastAsia" w:ascii="宋体" w:hAnsi="宋体" w:cs="宋体"/>
                <w:color w:val="auto"/>
                <w:sz w:val="28"/>
                <w:szCs w:val="28"/>
                <w:shd w:val="clear" w:color="auto" w:fill="FFFFFF"/>
              </w:rPr>
              <w:t xml:space="preserve">人：方凯 </w:t>
            </w:r>
          </w:p>
          <w:p>
            <w:pPr>
              <w:adjustRightInd w:val="0"/>
              <w:snapToGrid w:val="0"/>
              <w:spacing w:line="560" w:lineRule="exact"/>
              <w:ind w:firstLine="560" w:firstLineChars="200"/>
              <w:rPr>
                <w:rFonts w:ascii="宋体" w:hAnsi="宋体"/>
                <w:color w:val="auto"/>
                <w:sz w:val="28"/>
                <w:szCs w:val="28"/>
              </w:rPr>
            </w:pPr>
            <w:r>
              <w:rPr>
                <w:rFonts w:hint="eastAsia" w:ascii="宋体" w:hAnsi="宋体"/>
                <w:color w:val="auto"/>
                <w:sz w:val="28"/>
                <w:szCs w:val="28"/>
              </w:rPr>
              <w:t>联系电话：</w:t>
            </w:r>
            <w:r>
              <w:rPr>
                <w:rFonts w:hint="eastAsia" w:hAnsi="宋体" w:cs="宋体"/>
                <w:color w:val="auto"/>
                <w:sz w:val="28"/>
                <w:szCs w:val="28"/>
                <w:shd w:val="clear" w:color="auto" w:fill="FFFFFF"/>
              </w:rPr>
              <w:t xml:space="preserve">0550-3523822 </w:t>
            </w:r>
          </w:p>
          <w:p>
            <w:pPr>
              <w:adjustRightInd w:val="0"/>
              <w:snapToGrid w:val="0"/>
              <w:spacing w:line="560" w:lineRule="exact"/>
              <w:ind w:firstLine="560" w:firstLineChars="200"/>
              <w:rPr>
                <w:rFonts w:ascii="宋体" w:hAnsi="宋体"/>
                <w:color w:val="auto"/>
                <w:sz w:val="28"/>
                <w:szCs w:val="28"/>
              </w:rPr>
            </w:pPr>
            <w:r>
              <w:rPr>
                <w:rFonts w:hint="eastAsia" w:ascii="宋体" w:hAnsi="宋体"/>
                <w:color w:val="auto"/>
                <w:sz w:val="28"/>
                <w:szCs w:val="28"/>
              </w:rPr>
              <w:t xml:space="preserve">                              </w:t>
            </w:r>
          </w:p>
          <w:p>
            <w:pPr>
              <w:pStyle w:val="50"/>
              <w:ind w:left="0" w:leftChars="0" w:firstLine="0" w:firstLineChars="0"/>
              <w:rPr>
                <w:color w:val="auto"/>
                <w:sz w:val="28"/>
                <w:szCs w:val="28"/>
              </w:rPr>
            </w:pPr>
          </w:p>
          <w:p>
            <w:pPr>
              <w:adjustRightInd w:val="0"/>
              <w:snapToGrid w:val="0"/>
              <w:spacing w:line="560" w:lineRule="exact"/>
              <w:ind w:firstLine="560" w:firstLineChars="200"/>
              <w:rPr>
                <w:rFonts w:ascii="宋体" w:hAnsi="宋体"/>
                <w:color w:val="auto"/>
                <w:sz w:val="28"/>
                <w:szCs w:val="28"/>
              </w:rPr>
            </w:pPr>
            <w:r>
              <w:rPr>
                <w:rFonts w:hint="eastAsia" w:ascii="宋体" w:hAnsi="宋体"/>
                <w:color w:val="auto"/>
                <w:sz w:val="28"/>
                <w:szCs w:val="28"/>
              </w:rPr>
              <w:t xml:space="preserve">                                        </w:t>
            </w:r>
          </w:p>
          <w:p>
            <w:pPr>
              <w:spacing w:line="560" w:lineRule="exact"/>
              <w:ind w:firstLine="280" w:firstLineChars="100"/>
              <w:jc w:val="right"/>
              <w:rPr>
                <w:rFonts w:ascii="宋体" w:hAnsi="宋体" w:cs="宋体"/>
                <w:color w:val="auto"/>
                <w:sz w:val="28"/>
                <w:szCs w:val="28"/>
              </w:rPr>
            </w:pPr>
            <w:r>
              <w:rPr>
                <w:rFonts w:hint="eastAsia" w:ascii="宋体" w:hAnsi="宋体" w:cs="宋体"/>
                <w:color w:val="auto"/>
                <w:sz w:val="28"/>
                <w:szCs w:val="28"/>
              </w:rPr>
              <w:t>（盖章）</w:t>
            </w:r>
          </w:p>
          <w:p>
            <w:pPr>
              <w:spacing w:line="560" w:lineRule="exact"/>
              <w:ind w:firstLine="280" w:firstLineChars="100"/>
              <w:jc w:val="right"/>
              <w:rPr>
                <w:color w:val="auto"/>
                <w:sz w:val="28"/>
                <w:szCs w:val="28"/>
              </w:rPr>
            </w:pPr>
            <w:r>
              <w:rPr>
                <w:rFonts w:hint="eastAsia" w:ascii="宋体" w:hAnsi="宋体" w:cs="宋体"/>
                <w:color w:val="auto"/>
                <w:sz w:val="28"/>
                <w:szCs w:val="28"/>
              </w:rPr>
              <w:t xml:space="preserve">          2024年</w:t>
            </w:r>
            <w:r>
              <w:rPr>
                <w:rFonts w:hint="eastAsia" w:ascii="宋体" w:hAnsi="宋体" w:cs="宋体"/>
                <w:color w:val="auto"/>
                <w:sz w:val="28"/>
                <w:szCs w:val="28"/>
                <w:lang w:val="en-US" w:eastAsia="zh-CN"/>
              </w:rPr>
              <w:t>3</w:t>
            </w:r>
            <w:r>
              <w:rPr>
                <w:rFonts w:hint="eastAsia" w:ascii="宋体" w:hAnsi="宋体" w:cs="宋体"/>
                <w:color w:val="auto"/>
                <w:sz w:val="28"/>
                <w:szCs w:val="2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4" w:hRule="atLeast"/>
          <w:jc w:val="center"/>
        </w:trPr>
        <w:tc>
          <w:tcPr>
            <w:tcW w:w="9880" w:type="dxa"/>
          </w:tcPr>
          <w:p>
            <w:pPr>
              <w:spacing w:line="560" w:lineRule="exact"/>
              <w:ind w:firstLine="560" w:firstLineChars="200"/>
              <w:rPr>
                <w:rFonts w:ascii="宋体" w:cs="宋体"/>
                <w:color w:val="auto"/>
                <w:sz w:val="28"/>
                <w:szCs w:val="28"/>
              </w:rPr>
            </w:pPr>
          </w:p>
          <w:p>
            <w:pPr>
              <w:spacing w:line="560" w:lineRule="exact"/>
              <w:ind w:firstLine="560" w:firstLineChars="200"/>
              <w:rPr>
                <w:rFonts w:ascii="宋体" w:hAnsi="宋体" w:cs="宋体"/>
                <w:color w:val="auto"/>
                <w:sz w:val="28"/>
                <w:szCs w:val="28"/>
              </w:rPr>
            </w:pPr>
            <w:r>
              <w:rPr>
                <w:rFonts w:hint="eastAsia" w:ascii="宋体" w:hAnsi="宋体" w:cs="宋体"/>
                <w:color w:val="auto"/>
                <w:sz w:val="28"/>
                <w:szCs w:val="28"/>
              </w:rPr>
              <w:t xml:space="preserve">招标代理机构：江苏川页工程项目管理有限公司   </w:t>
            </w:r>
          </w:p>
          <w:p>
            <w:pPr>
              <w:spacing w:line="560" w:lineRule="exact"/>
              <w:ind w:firstLine="560" w:firstLineChars="200"/>
              <w:rPr>
                <w:rFonts w:ascii="宋体" w:hAnsi="宋体" w:cs="宋体"/>
                <w:color w:val="auto"/>
                <w:sz w:val="28"/>
                <w:szCs w:val="28"/>
              </w:rPr>
            </w:pPr>
            <w:r>
              <w:rPr>
                <w:rFonts w:hint="eastAsia" w:ascii="宋体" w:hAnsi="宋体" w:cs="宋体"/>
                <w:color w:val="auto"/>
                <w:sz w:val="28"/>
                <w:szCs w:val="28"/>
              </w:rPr>
              <w:t>经办人：赵建飞</w:t>
            </w:r>
          </w:p>
          <w:p>
            <w:pPr>
              <w:spacing w:line="560" w:lineRule="exact"/>
              <w:ind w:firstLine="560" w:firstLineChars="200"/>
              <w:rPr>
                <w:rFonts w:ascii="宋体" w:hAnsi="宋体" w:cs="宋体"/>
                <w:color w:val="auto"/>
                <w:sz w:val="28"/>
                <w:szCs w:val="28"/>
              </w:rPr>
            </w:pPr>
            <w:r>
              <w:rPr>
                <w:rFonts w:hint="eastAsia" w:ascii="宋体" w:hAnsi="宋体" w:cs="宋体"/>
                <w:color w:val="auto"/>
                <w:sz w:val="28"/>
                <w:szCs w:val="28"/>
              </w:rPr>
              <w:t>联系电话：18755018236</w:t>
            </w:r>
          </w:p>
          <w:p>
            <w:pPr>
              <w:spacing w:line="560" w:lineRule="exact"/>
              <w:ind w:firstLine="280" w:firstLineChars="100"/>
              <w:rPr>
                <w:rFonts w:ascii="宋体" w:hAnsi="宋体" w:cs="宋体"/>
                <w:color w:val="auto"/>
                <w:sz w:val="28"/>
                <w:szCs w:val="28"/>
              </w:rPr>
            </w:pPr>
            <w:r>
              <w:rPr>
                <w:rFonts w:hint="eastAsia" w:ascii="宋体" w:hAnsi="宋体" w:cs="宋体"/>
                <w:color w:val="auto"/>
                <w:sz w:val="28"/>
                <w:szCs w:val="28"/>
              </w:rPr>
              <w:t xml:space="preserve">                                  </w:t>
            </w:r>
          </w:p>
          <w:p>
            <w:pPr>
              <w:spacing w:line="560" w:lineRule="exact"/>
              <w:ind w:firstLine="280" w:firstLineChars="100"/>
              <w:rPr>
                <w:rFonts w:ascii="宋体" w:hAnsi="宋体" w:cs="宋体"/>
                <w:color w:val="auto"/>
                <w:sz w:val="28"/>
                <w:szCs w:val="28"/>
              </w:rPr>
            </w:pPr>
          </w:p>
          <w:p>
            <w:pPr>
              <w:pStyle w:val="3"/>
              <w:rPr>
                <w:color w:val="auto"/>
              </w:rPr>
            </w:pPr>
          </w:p>
          <w:p>
            <w:pPr>
              <w:spacing w:line="560" w:lineRule="exact"/>
              <w:ind w:firstLine="280" w:firstLineChars="100"/>
              <w:jc w:val="right"/>
              <w:rPr>
                <w:rFonts w:ascii="宋体" w:hAnsi="宋体" w:cs="宋体"/>
                <w:color w:val="auto"/>
                <w:sz w:val="28"/>
                <w:szCs w:val="28"/>
              </w:rPr>
            </w:pPr>
            <w:r>
              <w:rPr>
                <w:rFonts w:hint="eastAsia" w:ascii="宋体" w:hAnsi="宋体" w:cs="宋体"/>
                <w:color w:val="auto"/>
                <w:sz w:val="28"/>
                <w:szCs w:val="28"/>
              </w:rPr>
              <w:t xml:space="preserve">                                          （单位盖章）</w:t>
            </w:r>
          </w:p>
          <w:p>
            <w:pPr>
              <w:spacing w:line="560" w:lineRule="exact"/>
              <w:ind w:firstLine="6300" w:firstLineChars="2250"/>
              <w:jc w:val="right"/>
              <w:rPr>
                <w:color w:val="auto"/>
                <w:sz w:val="28"/>
                <w:szCs w:val="28"/>
              </w:rPr>
            </w:pPr>
            <w:r>
              <w:rPr>
                <w:rFonts w:hint="eastAsia" w:ascii="宋体" w:hAnsi="宋体" w:cs="宋体"/>
                <w:color w:val="auto"/>
                <w:sz w:val="28"/>
                <w:szCs w:val="28"/>
              </w:rPr>
              <w:t xml:space="preserve">       2024年</w:t>
            </w:r>
            <w:r>
              <w:rPr>
                <w:rFonts w:hint="eastAsia" w:ascii="宋体" w:hAnsi="宋体" w:cs="宋体"/>
                <w:color w:val="auto"/>
                <w:sz w:val="28"/>
                <w:szCs w:val="28"/>
                <w:lang w:val="en-US" w:eastAsia="zh-CN"/>
              </w:rPr>
              <w:t>3</w:t>
            </w:r>
            <w:r>
              <w:rPr>
                <w:rFonts w:hint="eastAsia" w:ascii="宋体" w:hAnsi="宋体" w:cs="宋体"/>
                <w:color w:val="auto"/>
                <w:sz w:val="28"/>
                <w:szCs w:val="28"/>
              </w:rPr>
              <w:t>月</w:t>
            </w:r>
          </w:p>
        </w:tc>
      </w:tr>
    </w:tbl>
    <w:p>
      <w:pPr>
        <w:jc w:val="left"/>
        <w:rPr>
          <w:rFonts w:ascii="宋体" w:hAnsi="宋体" w:cs="宋体"/>
          <w:color w:val="auto"/>
          <w:sz w:val="28"/>
          <w:szCs w:val="28"/>
        </w:rPr>
      </w:pPr>
    </w:p>
    <w:sectPr>
      <w:headerReference r:id="rId8" w:type="default"/>
      <w:footerReference r:id="rId9" w:type="default"/>
      <w:pgSz w:w="11906" w:h="16838"/>
      <w:pgMar w:top="1134" w:right="1361" w:bottom="1077" w:left="1361" w:header="680"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Style w:val="55"/>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5gLis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LmAuKyQEAAJkDAAAOAAAAAAAAAAEAIAAAAB4BAABkcnMvZTJvRG9j&#10;LnhtbFBLBQYAAAAABgAGAFkBAABZBQ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2</w:t>
                    </w:r>
                    <w:r>
                      <w:fldChar w:fldCharType="end"/>
                    </w:r>
                  </w:p>
                </w:txbxContent>
              </v:textbox>
            </v:shape>
          </w:pict>
        </mc:Fallback>
      </mc:AlternateContent>
    </w:r>
  </w:p>
  <w:p>
    <w:pPr>
      <w:pStyle w:val="29"/>
      <w:jc w:val="center"/>
      <w:rPr>
        <w:rFonts w:ascii="黑体" w:eastAsia="黑体"/>
        <w:b/>
        <w:bCs/>
        <w:kern w:val="0"/>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ascii="黑体" w:eastAsia="黑体"/>
        <w:b/>
        <w:bCs/>
        <w:kern w:val="0"/>
        <w:szCs w:val="21"/>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8vc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7/ry9yQEAAJkDAAAOAAAAAAAAAAEAIAAAAB4BAABkcnMvZTJvRG9j&#10;LnhtbFBLBQYAAAAABgAGAFkBAABZBQ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clear" w:pos="4153"/>
        <w:tab w:val="clear" w:pos="8306"/>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9"/>
                          </w:pPr>
                          <w:r>
                            <w:fldChar w:fldCharType="begin"/>
                          </w:r>
                          <w:r>
                            <w:instrText xml:space="preserve"> PAGE  \* MERGEFORMAT </w:instrText>
                          </w:r>
                          <w:r>
                            <w:fldChar w:fldCharType="separate"/>
                          </w:r>
                          <w:r>
                            <w:t>15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CdrcvLAQAAl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E1GKg/+wyFiC7mzhDpCTcVwXpnbtFtpIZ76Oevxf9r8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Ana3LywEAAJcDAAAOAAAAAAAAAAEAIAAAACIBAABkcnMv&#10;ZTJvRG9jLnhtbFBLBQYAAAAABgAGAFkBAABfBQAAAAA=&#10;">
              <v:fill on="f" focussize="0,0"/>
              <v:stroke on="f" weight="1.25pt"/>
              <v:imagedata o:title=""/>
              <o:lock v:ext="edit" aspectratio="f"/>
              <v:textbox inset="0mm,0mm,0mm,0mm" style="mso-fit-shape-to-text:t;">
                <w:txbxContent>
                  <w:p>
                    <w:pPr>
                      <w:pStyle w:val="29"/>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rPr>
        <w:kern w:val="0"/>
        <w:szCs w:val="21"/>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r>
                            <w:fldChar w:fldCharType="begin"/>
                          </w:r>
                          <w:r>
                            <w:instrText xml:space="preserve"> PAGE  \* MERGEFORMAT </w:instrText>
                          </w:r>
                          <w:r>
                            <w:fldChar w:fldCharType="separate"/>
                          </w:r>
                          <w:r>
                            <w:t>45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45</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qWcUuzAEAAJwDAAAOAAAAAAAAAAEAIAAAAB4BAABkcnMvZTJv&#10;RG9jLnhtbFBLBQYAAAAABgAGAFkBAABcBQAAAAA=&#10;">
              <v:fill on="f" focussize="0,0"/>
              <v:stroke on="f"/>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jc w:val="right"/>
      <w:rPr>
        <w:b/>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F89BED"/>
    <w:multiLevelType w:val="singleLevel"/>
    <w:tmpl w:val="45F89BED"/>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9"/>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wNzhmM2JhYWI3YzY5ODJhOTJhMmMzMTk2ZDA3OWMifQ=="/>
    <w:docVar w:name="KSO_WPS_MARK_KEY" w:val="271179cf-a07a-4519-8064-711ee7006a07"/>
  </w:docVars>
  <w:rsids>
    <w:rsidRoot w:val="00172A27"/>
    <w:rsid w:val="00000F03"/>
    <w:rsid w:val="0000102C"/>
    <w:rsid w:val="00002296"/>
    <w:rsid w:val="00003341"/>
    <w:rsid w:val="00006820"/>
    <w:rsid w:val="0000765B"/>
    <w:rsid w:val="000133FD"/>
    <w:rsid w:val="00013CDB"/>
    <w:rsid w:val="000149CE"/>
    <w:rsid w:val="00014BE3"/>
    <w:rsid w:val="000152EF"/>
    <w:rsid w:val="00015E33"/>
    <w:rsid w:val="000163F2"/>
    <w:rsid w:val="0002000D"/>
    <w:rsid w:val="000210A3"/>
    <w:rsid w:val="00021731"/>
    <w:rsid w:val="0002303F"/>
    <w:rsid w:val="00024BEA"/>
    <w:rsid w:val="00025652"/>
    <w:rsid w:val="00027350"/>
    <w:rsid w:val="000275A3"/>
    <w:rsid w:val="00027B66"/>
    <w:rsid w:val="000301A2"/>
    <w:rsid w:val="0003022F"/>
    <w:rsid w:val="00030431"/>
    <w:rsid w:val="00031287"/>
    <w:rsid w:val="0003176B"/>
    <w:rsid w:val="000346D8"/>
    <w:rsid w:val="00034D00"/>
    <w:rsid w:val="000369B9"/>
    <w:rsid w:val="00036E1B"/>
    <w:rsid w:val="00037222"/>
    <w:rsid w:val="00041DC0"/>
    <w:rsid w:val="00043152"/>
    <w:rsid w:val="000455A4"/>
    <w:rsid w:val="00045A6A"/>
    <w:rsid w:val="000466F8"/>
    <w:rsid w:val="0004671B"/>
    <w:rsid w:val="00047776"/>
    <w:rsid w:val="000520E9"/>
    <w:rsid w:val="000534C0"/>
    <w:rsid w:val="00055AD6"/>
    <w:rsid w:val="0005658A"/>
    <w:rsid w:val="00056830"/>
    <w:rsid w:val="00056A2D"/>
    <w:rsid w:val="00056E3D"/>
    <w:rsid w:val="00061677"/>
    <w:rsid w:val="00063BED"/>
    <w:rsid w:val="00063C44"/>
    <w:rsid w:val="0006566F"/>
    <w:rsid w:val="0006584B"/>
    <w:rsid w:val="00065940"/>
    <w:rsid w:val="00065AAB"/>
    <w:rsid w:val="00070B50"/>
    <w:rsid w:val="00071845"/>
    <w:rsid w:val="000738CE"/>
    <w:rsid w:val="00077AAD"/>
    <w:rsid w:val="00080440"/>
    <w:rsid w:val="00080971"/>
    <w:rsid w:val="000818D5"/>
    <w:rsid w:val="000826E7"/>
    <w:rsid w:val="0008469B"/>
    <w:rsid w:val="0008521D"/>
    <w:rsid w:val="00085D26"/>
    <w:rsid w:val="00086AF9"/>
    <w:rsid w:val="00087577"/>
    <w:rsid w:val="00090F13"/>
    <w:rsid w:val="0009199E"/>
    <w:rsid w:val="00091D2B"/>
    <w:rsid w:val="0009306E"/>
    <w:rsid w:val="000944D8"/>
    <w:rsid w:val="00094759"/>
    <w:rsid w:val="00096398"/>
    <w:rsid w:val="00096946"/>
    <w:rsid w:val="000A0086"/>
    <w:rsid w:val="000A1B93"/>
    <w:rsid w:val="000A2A89"/>
    <w:rsid w:val="000A318B"/>
    <w:rsid w:val="000A3A88"/>
    <w:rsid w:val="000A4579"/>
    <w:rsid w:val="000A48D0"/>
    <w:rsid w:val="000A7358"/>
    <w:rsid w:val="000A77AA"/>
    <w:rsid w:val="000B026F"/>
    <w:rsid w:val="000B02B3"/>
    <w:rsid w:val="000B41C7"/>
    <w:rsid w:val="000B4E0B"/>
    <w:rsid w:val="000B5789"/>
    <w:rsid w:val="000B5D69"/>
    <w:rsid w:val="000B609D"/>
    <w:rsid w:val="000B734D"/>
    <w:rsid w:val="000B767F"/>
    <w:rsid w:val="000B7C36"/>
    <w:rsid w:val="000C2ACE"/>
    <w:rsid w:val="000C3844"/>
    <w:rsid w:val="000C423F"/>
    <w:rsid w:val="000C4FA9"/>
    <w:rsid w:val="000C5DC5"/>
    <w:rsid w:val="000C7A2C"/>
    <w:rsid w:val="000D069B"/>
    <w:rsid w:val="000D15D2"/>
    <w:rsid w:val="000D18C0"/>
    <w:rsid w:val="000D1BC7"/>
    <w:rsid w:val="000D2370"/>
    <w:rsid w:val="000D2998"/>
    <w:rsid w:val="000D2DEB"/>
    <w:rsid w:val="000D4F76"/>
    <w:rsid w:val="000D5B18"/>
    <w:rsid w:val="000E1E50"/>
    <w:rsid w:val="000E47C8"/>
    <w:rsid w:val="000E521D"/>
    <w:rsid w:val="000E6FF8"/>
    <w:rsid w:val="000F069A"/>
    <w:rsid w:val="000F0C54"/>
    <w:rsid w:val="000F1705"/>
    <w:rsid w:val="000F195C"/>
    <w:rsid w:val="000F1B02"/>
    <w:rsid w:val="000F294F"/>
    <w:rsid w:val="000F2FFA"/>
    <w:rsid w:val="000F309A"/>
    <w:rsid w:val="000F3685"/>
    <w:rsid w:val="000F36ED"/>
    <w:rsid w:val="000F3D46"/>
    <w:rsid w:val="000F5817"/>
    <w:rsid w:val="000F6B36"/>
    <w:rsid w:val="000F6D52"/>
    <w:rsid w:val="0010017C"/>
    <w:rsid w:val="00102075"/>
    <w:rsid w:val="00102231"/>
    <w:rsid w:val="00102B71"/>
    <w:rsid w:val="0010493B"/>
    <w:rsid w:val="00104F30"/>
    <w:rsid w:val="0010777D"/>
    <w:rsid w:val="001106F4"/>
    <w:rsid w:val="00113041"/>
    <w:rsid w:val="0011328D"/>
    <w:rsid w:val="0011593A"/>
    <w:rsid w:val="00116B46"/>
    <w:rsid w:val="00117639"/>
    <w:rsid w:val="001204FF"/>
    <w:rsid w:val="001205BC"/>
    <w:rsid w:val="00120BCE"/>
    <w:rsid w:val="00121F96"/>
    <w:rsid w:val="00124902"/>
    <w:rsid w:val="00124A35"/>
    <w:rsid w:val="001262D5"/>
    <w:rsid w:val="00126B13"/>
    <w:rsid w:val="00132AAF"/>
    <w:rsid w:val="0013331F"/>
    <w:rsid w:val="0013358F"/>
    <w:rsid w:val="001335D9"/>
    <w:rsid w:val="00133BE1"/>
    <w:rsid w:val="001347A9"/>
    <w:rsid w:val="00135313"/>
    <w:rsid w:val="00136C6C"/>
    <w:rsid w:val="001377FE"/>
    <w:rsid w:val="00140703"/>
    <w:rsid w:val="0014118D"/>
    <w:rsid w:val="001423BD"/>
    <w:rsid w:val="0014526A"/>
    <w:rsid w:val="00146FE8"/>
    <w:rsid w:val="00147D4A"/>
    <w:rsid w:val="00152C59"/>
    <w:rsid w:val="00153023"/>
    <w:rsid w:val="00153877"/>
    <w:rsid w:val="00153D68"/>
    <w:rsid w:val="00154767"/>
    <w:rsid w:val="00155483"/>
    <w:rsid w:val="0015793D"/>
    <w:rsid w:val="00161FAA"/>
    <w:rsid w:val="00164B9C"/>
    <w:rsid w:val="001653B4"/>
    <w:rsid w:val="001669A2"/>
    <w:rsid w:val="00166E69"/>
    <w:rsid w:val="00167272"/>
    <w:rsid w:val="00167E01"/>
    <w:rsid w:val="00167FF5"/>
    <w:rsid w:val="00170CC2"/>
    <w:rsid w:val="0017116A"/>
    <w:rsid w:val="00171479"/>
    <w:rsid w:val="00171A33"/>
    <w:rsid w:val="00172644"/>
    <w:rsid w:val="00172A27"/>
    <w:rsid w:val="00176EEA"/>
    <w:rsid w:val="00177929"/>
    <w:rsid w:val="00177A7A"/>
    <w:rsid w:val="00177B8F"/>
    <w:rsid w:val="00182E57"/>
    <w:rsid w:val="00184289"/>
    <w:rsid w:val="00184ABA"/>
    <w:rsid w:val="001858BE"/>
    <w:rsid w:val="00185A56"/>
    <w:rsid w:val="001864BC"/>
    <w:rsid w:val="00187590"/>
    <w:rsid w:val="00190C31"/>
    <w:rsid w:val="00191140"/>
    <w:rsid w:val="0019139D"/>
    <w:rsid w:val="001918E9"/>
    <w:rsid w:val="00192BDE"/>
    <w:rsid w:val="00193CE6"/>
    <w:rsid w:val="00194B8E"/>
    <w:rsid w:val="00195E66"/>
    <w:rsid w:val="001961BA"/>
    <w:rsid w:val="001975C9"/>
    <w:rsid w:val="001A0716"/>
    <w:rsid w:val="001A343D"/>
    <w:rsid w:val="001A435B"/>
    <w:rsid w:val="001A4465"/>
    <w:rsid w:val="001A5FB8"/>
    <w:rsid w:val="001A6F91"/>
    <w:rsid w:val="001B1526"/>
    <w:rsid w:val="001B1BD2"/>
    <w:rsid w:val="001B3012"/>
    <w:rsid w:val="001B520E"/>
    <w:rsid w:val="001B5BEF"/>
    <w:rsid w:val="001B6816"/>
    <w:rsid w:val="001B7766"/>
    <w:rsid w:val="001C22BC"/>
    <w:rsid w:val="001C5534"/>
    <w:rsid w:val="001C6CAF"/>
    <w:rsid w:val="001C7C71"/>
    <w:rsid w:val="001D06AD"/>
    <w:rsid w:val="001D2114"/>
    <w:rsid w:val="001D318D"/>
    <w:rsid w:val="001D5590"/>
    <w:rsid w:val="001D693B"/>
    <w:rsid w:val="001D70EE"/>
    <w:rsid w:val="001D7320"/>
    <w:rsid w:val="001D73C1"/>
    <w:rsid w:val="001D7424"/>
    <w:rsid w:val="001D750D"/>
    <w:rsid w:val="001E00E0"/>
    <w:rsid w:val="001E0EF7"/>
    <w:rsid w:val="001E191A"/>
    <w:rsid w:val="001E33F3"/>
    <w:rsid w:val="001E3C44"/>
    <w:rsid w:val="001E3DE5"/>
    <w:rsid w:val="001E452F"/>
    <w:rsid w:val="001E4B4F"/>
    <w:rsid w:val="001E535B"/>
    <w:rsid w:val="001E56A2"/>
    <w:rsid w:val="001E6B1C"/>
    <w:rsid w:val="001E6CD4"/>
    <w:rsid w:val="001E6FE6"/>
    <w:rsid w:val="001E6FFF"/>
    <w:rsid w:val="001F0084"/>
    <w:rsid w:val="001F064B"/>
    <w:rsid w:val="001F1335"/>
    <w:rsid w:val="001F16F3"/>
    <w:rsid w:val="001F1743"/>
    <w:rsid w:val="001F1CE0"/>
    <w:rsid w:val="001F2980"/>
    <w:rsid w:val="001F3B7C"/>
    <w:rsid w:val="001F403F"/>
    <w:rsid w:val="001F4495"/>
    <w:rsid w:val="001F471C"/>
    <w:rsid w:val="001F5059"/>
    <w:rsid w:val="001F50BB"/>
    <w:rsid w:val="001F7A46"/>
    <w:rsid w:val="0020030D"/>
    <w:rsid w:val="00200A9A"/>
    <w:rsid w:val="00202078"/>
    <w:rsid w:val="00202131"/>
    <w:rsid w:val="0020229E"/>
    <w:rsid w:val="002026A6"/>
    <w:rsid w:val="00203622"/>
    <w:rsid w:val="00203E74"/>
    <w:rsid w:val="002069FA"/>
    <w:rsid w:val="00207055"/>
    <w:rsid w:val="002075D4"/>
    <w:rsid w:val="00207958"/>
    <w:rsid w:val="002103CB"/>
    <w:rsid w:val="00210CEC"/>
    <w:rsid w:val="00211704"/>
    <w:rsid w:val="002125CB"/>
    <w:rsid w:val="0021262F"/>
    <w:rsid w:val="00217547"/>
    <w:rsid w:val="00220B91"/>
    <w:rsid w:val="002217F8"/>
    <w:rsid w:val="00225794"/>
    <w:rsid w:val="00225D3C"/>
    <w:rsid w:val="00227089"/>
    <w:rsid w:val="002306F3"/>
    <w:rsid w:val="00230AE3"/>
    <w:rsid w:val="00230C04"/>
    <w:rsid w:val="002314D2"/>
    <w:rsid w:val="0023165F"/>
    <w:rsid w:val="0023272C"/>
    <w:rsid w:val="00233E6F"/>
    <w:rsid w:val="00234A29"/>
    <w:rsid w:val="002361C8"/>
    <w:rsid w:val="002364B7"/>
    <w:rsid w:val="0023659C"/>
    <w:rsid w:val="00237147"/>
    <w:rsid w:val="00237352"/>
    <w:rsid w:val="002374BB"/>
    <w:rsid w:val="00237506"/>
    <w:rsid w:val="00240600"/>
    <w:rsid w:val="002417C1"/>
    <w:rsid w:val="00242BA3"/>
    <w:rsid w:val="00243C2B"/>
    <w:rsid w:val="00244312"/>
    <w:rsid w:val="00247A47"/>
    <w:rsid w:val="00247C5C"/>
    <w:rsid w:val="00250167"/>
    <w:rsid w:val="00251029"/>
    <w:rsid w:val="0025449E"/>
    <w:rsid w:val="0025467B"/>
    <w:rsid w:val="002551F6"/>
    <w:rsid w:val="002554CE"/>
    <w:rsid w:val="00255771"/>
    <w:rsid w:val="00255A95"/>
    <w:rsid w:val="002572D8"/>
    <w:rsid w:val="00260EB0"/>
    <w:rsid w:val="00262F82"/>
    <w:rsid w:val="00264BBB"/>
    <w:rsid w:val="00265844"/>
    <w:rsid w:val="002667A5"/>
    <w:rsid w:val="00266FC3"/>
    <w:rsid w:val="002676DA"/>
    <w:rsid w:val="00270D00"/>
    <w:rsid w:val="00271288"/>
    <w:rsid w:val="00272A64"/>
    <w:rsid w:val="002731BD"/>
    <w:rsid w:val="0027387D"/>
    <w:rsid w:val="0027549B"/>
    <w:rsid w:val="00276C5E"/>
    <w:rsid w:val="00277233"/>
    <w:rsid w:val="002776CD"/>
    <w:rsid w:val="002803FA"/>
    <w:rsid w:val="00281D13"/>
    <w:rsid w:val="002827C7"/>
    <w:rsid w:val="00283A63"/>
    <w:rsid w:val="0028592E"/>
    <w:rsid w:val="002859F8"/>
    <w:rsid w:val="0028605D"/>
    <w:rsid w:val="00286788"/>
    <w:rsid w:val="0028772F"/>
    <w:rsid w:val="002905A9"/>
    <w:rsid w:val="002929A8"/>
    <w:rsid w:val="00293E15"/>
    <w:rsid w:val="00295785"/>
    <w:rsid w:val="00295C9B"/>
    <w:rsid w:val="00297553"/>
    <w:rsid w:val="00297DCF"/>
    <w:rsid w:val="002A0361"/>
    <w:rsid w:val="002A046B"/>
    <w:rsid w:val="002A3922"/>
    <w:rsid w:val="002A4679"/>
    <w:rsid w:val="002A47B5"/>
    <w:rsid w:val="002A47BA"/>
    <w:rsid w:val="002A65E6"/>
    <w:rsid w:val="002A7F0C"/>
    <w:rsid w:val="002B1205"/>
    <w:rsid w:val="002B16F4"/>
    <w:rsid w:val="002B1B17"/>
    <w:rsid w:val="002B3094"/>
    <w:rsid w:val="002B4D0B"/>
    <w:rsid w:val="002B651F"/>
    <w:rsid w:val="002B675A"/>
    <w:rsid w:val="002C11D0"/>
    <w:rsid w:val="002C40AB"/>
    <w:rsid w:val="002C5707"/>
    <w:rsid w:val="002C6355"/>
    <w:rsid w:val="002D0466"/>
    <w:rsid w:val="002D21A0"/>
    <w:rsid w:val="002D3B50"/>
    <w:rsid w:val="002D500A"/>
    <w:rsid w:val="002D619C"/>
    <w:rsid w:val="002D7D16"/>
    <w:rsid w:val="002E0AA9"/>
    <w:rsid w:val="002E2295"/>
    <w:rsid w:val="002E31E3"/>
    <w:rsid w:val="002E349E"/>
    <w:rsid w:val="002E5DF0"/>
    <w:rsid w:val="002E6A21"/>
    <w:rsid w:val="002E6C2C"/>
    <w:rsid w:val="002E6EA9"/>
    <w:rsid w:val="002E74CD"/>
    <w:rsid w:val="002F04F4"/>
    <w:rsid w:val="002F0F7B"/>
    <w:rsid w:val="002F1AD0"/>
    <w:rsid w:val="002F1B12"/>
    <w:rsid w:val="002F2ADD"/>
    <w:rsid w:val="002F3CA0"/>
    <w:rsid w:val="002F4C7B"/>
    <w:rsid w:val="002F5F35"/>
    <w:rsid w:val="0030036D"/>
    <w:rsid w:val="00301E56"/>
    <w:rsid w:val="00302DA4"/>
    <w:rsid w:val="00303C49"/>
    <w:rsid w:val="003043D3"/>
    <w:rsid w:val="00304853"/>
    <w:rsid w:val="00305612"/>
    <w:rsid w:val="00306E36"/>
    <w:rsid w:val="00310228"/>
    <w:rsid w:val="00310232"/>
    <w:rsid w:val="00311D50"/>
    <w:rsid w:val="003138BA"/>
    <w:rsid w:val="003141E9"/>
    <w:rsid w:val="003158DD"/>
    <w:rsid w:val="003169B1"/>
    <w:rsid w:val="0031701A"/>
    <w:rsid w:val="0031777C"/>
    <w:rsid w:val="00320EB5"/>
    <w:rsid w:val="00321760"/>
    <w:rsid w:val="00321CF0"/>
    <w:rsid w:val="003222D9"/>
    <w:rsid w:val="00323DA3"/>
    <w:rsid w:val="00323F93"/>
    <w:rsid w:val="003247E8"/>
    <w:rsid w:val="00324A98"/>
    <w:rsid w:val="00324C0D"/>
    <w:rsid w:val="00324D18"/>
    <w:rsid w:val="0032587D"/>
    <w:rsid w:val="00326B4A"/>
    <w:rsid w:val="003302B5"/>
    <w:rsid w:val="003302C4"/>
    <w:rsid w:val="0033132E"/>
    <w:rsid w:val="0033158A"/>
    <w:rsid w:val="00331F03"/>
    <w:rsid w:val="003342B7"/>
    <w:rsid w:val="00335113"/>
    <w:rsid w:val="0033662A"/>
    <w:rsid w:val="00337E67"/>
    <w:rsid w:val="003401B5"/>
    <w:rsid w:val="00342330"/>
    <w:rsid w:val="00344118"/>
    <w:rsid w:val="00344273"/>
    <w:rsid w:val="003443AF"/>
    <w:rsid w:val="0034546A"/>
    <w:rsid w:val="00346627"/>
    <w:rsid w:val="00346C50"/>
    <w:rsid w:val="00346EA4"/>
    <w:rsid w:val="003475EF"/>
    <w:rsid w:val="00347664"/>
    <w:rsid w:val="003511A6"/>
    <w:rsid w:val="00351636"/>
    <w:rsid w:val="003524FA"/>
    <w:rsid w:val="003536AA"/>
    <w:rsid w:val="00355A17"/>
    <w:rsid w:val="0035744E"/>
    <w:rsid w:val="00360343"/>
    <w:rsid w:val="00360FCD"/>
    <w:rsid w:val="00364C68"/>
    <w:rsid w:val="00364E31"/>
    <w:rsid w:val="00365426"/>
    <w:rsid w:val="003663FF"/>
    <w:rsid w:val="0036743A"/>
    <w:rsid w:val="00371602"/>
    <w:rsid w:val="00371A69"/>
    <w:rsid w:val="00371DCC"/>
    <w:rsid w:val="00372DA3"/>
    <w:rsid w:val="00372FCD"/>
    <w:rsid w:val="0037516A"/>
    <w:rsid w:val="00375399"/>
    <w:rsid w:val="003761A0"/>
    <w:rsid w:val="003761C3"/>
    <w:rsid w:val="0037637D"/>
    <w:rsid w:val="00376403"/>
    <w:rsid w:val="0038095F"/>
    <w:rsid w:val="00382134"/>
    <w:rsid w:val="00383809"/>
    <w:rsid w:val="0038572D"/>
    <w:rsid w:val="00390F55"/>
    <w:rsid w:val="003937D5"/>
    <w:rsid w:val="003943F6"/>
    <w:rsid w:val="00395BBA"/>
    <w:rsid w:val="0039655F"/>
    <w:rsid w:val="00397438"/>
    <w:rsid w:val="003975C9"/>
    <w:rsid w:val="00397B4E"/>
    <w:rsid w:val="003A0B6C"/>
    <w:rsid w:val="003A0C50"/>
    <w:rsid w:val="003A1E88"/>
    <w:rsid w:val="003A20C8"/>
    <w:rsid w:val="003A262E"/>
    <w:rsid w:val="003A2D98"/>
    <w:rsid w:val="003A3492"/>
    <w:rsid w:val="003A644A"/>
    <w:rsid w:val="003A7366"/>
    <w:rsid w:val="003B0EB7"/>
    <w:rsid w:val="003B2002"/>
    <w:rsid w:val="003B2911"/>
    <w:rsid w:val="003B4EF8"/>
    <w:rsid w:val="003B5149"/>
    <w:rsid w:val="003C03B5"/>
    <w:rsid w:val="003C22A2"/>
    <w:rsid w:val="003C2A63"/>
    <w:rsid w:val="003C44C4"/>
    <w:rsid w:val="003C5296"/>
    <w:rsid w:val="003C59FB"/>
    <w:rsid w:val="003C5D63"/>
    <w:rsid w:val="003D17A0"/>
    <w:rsid w:val="003D26E9"/>
    <w:rsid w:val="003D4696"/>
    <w:rsid w:val="003D7923"/>
    <w:rsid w:val="003D7DB9"/>
    <w:rsid w:val="003E2E02"/>
    <w:rsid w:val="003E2FF1"/>
    <w:rsid w:val="003E373D"/>
    <w:rsid w:val="003E68BB"/>
    <w:rsid w:val="003E6AC9"/>
    <w:rsid w:val="003E6F9D"/>
    <w:rsid w:val="003E74A0"/>
    <w:rsid w:val="003E7AC5"/>
    <w:rsid w:val="003F0472"/>
    <w:rsid w:val="003F09CD"/>
    <w:rsid w:val="003F0FFD"/>
    <w:rsid w:val="003F17A7"/>
    <w:rsid w:val="003F20F4"/>
    <w:rsid w:val="003F41C1"/>
    <w:rsid w:val="003F5BC4"/>
    <w:rsid w:val="003F79A3"/>
    <w:rsid w:val="004013B7"/>
    <w:rsid w:val="0040223B"/>
    <w:rsid w:val="004031CE"/>
    <w:rsid w:val="00403273"/>
    <w:rsid w:val="00403850"/>
    <w:rsid w:val="004041B9"/>
    <w:rsid w:val="00405D43"/>
    <w:rsid w:val="00406D2A"/>
    <w:rsid w:val="00407710"/>
    <w:rsid w:val="00410283"/>
    <w:rsid w:val="004105DD"/>
    <w:rsid w:val="00411467"/>
    <w:rsid w:val="0041233E"/>
    <w:rsid w:val="00412398"/>
    <w:rsid w:val="0041327B"/>
    <w:rsid w:val="00414D10"/>
    <w:rsid w:val="004157B9"/>
    <w:rsid w:val="00415B46"/>
    <w:rsid w:val="00416ABA"/>
    <w:rsid w:val="0041712A"/>
    <w:rsid w:val="00420B93"/>
    <w:rsid w:val="00420C62"/>
    <w:rsid w:val="00421651"/>
    <w:rsid w:val="004225D0"/>
    <w:rsid w:val="00424D5D"/>
    <w:rsid w:val="004253E4"/>
    <w:rsid w:val="00426BDD"/>
    <w:rsid w:val="00427693"/>
    <w:rsid w:val="00427A07"/>
    <w:rsid w:val="004302AF"/>
    <w:rsid w:val="00430BDB"/>
    <w:rsid w:val="00432ABD"/>
    <w:rsid w:val="0043366A"/>
    <w:rsid w:val="0043376F"/>
    <w:rsid w:val="00435256"/>
    <w:rsid w:val="004353DC"/>
    <w:rsid w:val="00435B05"/>
    <w:rsid w:val="0043732A"/>
    <w:rsid w:val="004400DA"/>
    <w:rsid w:val="00441308"/>
    <w:rsid w:val="004416C1"/>
    <w:rsid w:val="00444AD0"/>
    <w:rsid w:val="00446296"/>
    <w:rsid w:val="004468C6"/>
    <w:rsid w:val="004468CB"/>
    <w:rsid w:val="00447841"/>
    <w:rsid w:val="00447AAA"/>
    <w:rsid w:val="0045023F"/>
    <w:rsid w:val="0045025A"/>
    <w:rsid w:val="00455DDC"/>
    <w:rsid w:val="004600E6"/>
    <w:rsid w:val="004603B0"/>
    <w:rsid w:val="0046040E"/>
    <w:rsid w:val="0046061F"/>
    <w:rsid w:val="00460DDB"/>
    <w:rsid w:val="00461843"/>
    <w:rsid w:val="00461BA1"/>
    <w:rsid w:val="00464B9D"/>
    <w:rsid w:val="004656AF"/>
    <w:rsid w:val="0046571A"/>
    <w:rsid w:val="00465895"/>
    <w:rsid w:val="0046617E"/>
    <w:rsid w:val="00466BBB"/>
    <w:rsid w:val="0047080E"/>
    <w:rsid w:val="004713DB"/>
    <w:rsid w:val="0047228F"/>
    <w:rsid w:val="00472BAD"/>
    <w:rsid w:val="004736CC"/>
    <w:rsid w:val="00474761"/>
    <w:rsid w:val="00476C92"/>
    <w:rsid w:val="00476DDE"/>
    <w:rsid w:val="00480FD2"/>
    <w:rsid w:val="004855C6"/>
    <w:rsid w:val="0048589A"/>
    <w:rsid w:val="00487CA1"/>
    <w:rsid w:val="004901BC"/>
    <w:rsid w:val="00490C17"/>
    <w:rsid w:val="004943F2"/>
    <w:rsid w:val="00496A03"/>
    <w:rsid w:val="00496EA9"/>
    <w:rsid w:val="0049719D"/>
    <w:rsid w:val="004975BD"/>
    <w:rsid w:val="004977AC"/>
    <w:rsid w:val="00497D2A"/>
    <w:rsid w:val="004A0266"/>
    <w:rsid w:val="004A107E"/>
    <w:rsid w:val="004A14BB"/>
    <w:rsid w:val="004A19A5"/>
    <w:rsid w:val="004A2C79"/>
    <w:rsid w:val="004A4A83"/>
    <w:rsid w:val="004A59B8"/>
    <w:rsid w:val="004A6F04"/>
    <w:rsid w:val="004A701E"/>
    <w:rsid w:val="004A7435"/>
    <w:rsid w:val="004B0292"/>
    <w:rsid w:val="004B08FF"/>
    <w:rsid w:val="004B0D22"/>
    <w:rsid w:val="004B2353"/>
    <w:rsid w:val="004B275B"/>
    <w:rsid w:val="004B3355"/>
    <w:rsid w:val="004B5590"/>
    <w:rsid w:val="004B5FC4"/>
    <w:rsid w:val="004B7C6E"/>
    <w:rsid w:val="004C09BE"/>
    <w:rsid w:val="004C10CE"/>
    <w:rsid w:val="004C22BD"/>
    <w:rsid w:val="004C244A"/>
    <w:rsid w:val="004C2E4C"/>
    <w:rsid w:val="004C2F1D"/>
    <w:rsid w:val="004C37DC"/>
    <w:rsid w:val="004C4475"/>
    <w:rsid w:val="004C4B61"/>
    <w:rsid w:val="004C507C"/>
    <w:rsid w:val="004C5142"/>
    <w:rsid w:val="004D08FC"/>
    <w:rsid w:val="004D1A10"/>
    <w:rsid w:val="004D1C17"/>
    <w:rsid w:val="004D2711"/>
    <w:rsid w:val="004D3DC9"/>
    <w:rsid w:val="004D404C"/>
    <w:rsid w:val="004D42D2"/>
    <w:rsid w:val="004D4592"/>
    <w:rsid w:val="004D4B74"/>
    <w:rsid w:val="004D64ED"/>
    <w:rsid w:val="004D77BA"/>
    <w:rsid w:val="004E2450"/>
    <w:rsid w:val="004E28A4"/>
    <w:rsid w:val="004E4F3A"/>
    <w:rsid w:val="004E62B4"/>
    <w:rsid w:val="004E6950"/>
    <w:rsid w:val="004F1398"/>
    <w:rsid w:val="004F18A1"/>
    <w:rsid w:val="004F37DA"/>
    <w:rsid w:val="004F4318"/>
    <w:rsid w:val="004F449E"/>
    <w:rsid w:val="004F5D47"/>
    <w:rsid w:val="004F623E"/>
    <w:rsid w:val="004F642B"/>
    <w:rsid w:val="004F6987"/>
    <w:rsid w:val="004F6A86"/>
    <w:rsid w:val="004F7068"/>
    <w:rsid w:val="004F7369"/>
    <w:rsid w:val="004F7AC3"/>
    <w:rsid w:val="004F7E98"/>
    <w:rsid w:val="005002DE"/>
    <w:rsid w:val="00500C1C"/>
    <w:rsid w:val="00502495"/>
    <w:rsid w:val="00502A52"/>
    <w:rsid w:val="005032B2"/>
    <w:rsid w:val="00503834"/>
    <w:rsid w:val="00503E36"/>
    <w:rsid w:val="005040B4"/>
    <w:rsid w:val="00504163"/>
    <w:rsid w:val="005072D6"/>
    <w:rsid w:val="00510889"/>
    <w:rsid w:val="00510D92"/>
    <w:rsid w:val="005135C5"/>
    <w:rsid w:val="005150CB"/>
    <w:rsid w:val="005151EE"/>
    <w:rsid w:val="00515BB3"/>
    <w:rsid w:val="00516B05"/>
    <w:rsid w:val="00517F92"/>
    <w:rsid w:val="0052099E"/>
    <w:rsid w:val="00521401"/>
    <w:rsid w:val="005239B8"/>
    <w:rsid w:val="005242A3"/>
    <w:rsid w:val="00525A4E"/>
    <w:rsid w:val="00525F54"/>
    <w:rsid w:val="005301F8"/>
    <w:rsid w:val="005309C6"/>
    <w:rsid w:val="00530D02"/>
    <w:rsid w:val="00531AF8"/>
    <w:rsid w:val="00531D68"/>
    <w:rsid w:val="00535CD7"/>
    <w:rsid w:val="00535D1E"/>
    <w:rsid w:val="00536151"/>
    <w:rsid w:val="00537E97"/>
    <w:rsid w:val="00541866"/>
    <w:rsid w:val="0054274E"/>
    <w:rsid w:val="005430D1"/>
    <w:rsid w:val="0054452A"/>
    <w:rsid w:val="00545C7C"/>
    <w:rsid w:val="00546D32"/>
    <w:rsid w:val="00547C0D"/>
    <w:rsid w:val="005509E2"/>
    <w:rsid w:val="00551EEF"/>
    <w:rsid w:val="00552084"/>
    <w:rsid w:val="00552AC0"/>
    <w:rsid w:val="0055306C"/>
    <w:rsid w:val="00553DAD"/>
    <w:rsid w:val="00554E3C"/>
    <w:rsid w:val="005552E6"/>
    <w:rsid w:val="0055588D"/>
    <w:rsid w:val="005565B5"/>
    <w:rsid w:val="00557CFD"/>
    <w:rsid w:val="00557E1B"/>
    <w:rsid w:val="00561D45"/>
    <w:rsid w:val="00562961"/>
    <w:rsid w:val="00562AA3"/>
    <w:rsid w:val="005630FF"/>
    <w:rsid w:val="00564171"/>
    <w:rsid w:val="00564373"/>
    <w:rsid w:val="0056463A"/>
    <w:rsid w:val="00566D7A"/>
    <w:rsid w:val="0056759A"/>
    <w:rsid w:val="00567DAC"/>
    <w:rsid w:val="005708B7"/>
    <w:rsid w:val="00571B93"/>
    <w:rsid w:val="00571E2A"/>
    <w:rsid w:val="00572BEE"/>
    <w:rsid w:val="00574020"/>
    <w:rsid w:val="005741F7"/>
    <w:rsid w:val="005744A3"/>
    <w:rsid w:val="005749B6"/>
    <w:rsid w:val="0057517D"/>
    <w:rsid w:val="00575403"/>
    <w:rsid w:val="00577AA3"/>
    <w:rsid w:val="00581688"/>
    <w:rsid w:val="0058258E"/>
    <w:rsid w:val="0058263E"/>
    <w:rsid w:val="00583264"/>
    <w:rsid w:val="00583B5A"/>
    <w:rsid w:val="00584D4C"/>
    <w:rsid w:val="00584F8C"/>
    <w:rsid w:val="0058512E"/>
    <w:rsid w:val="00585A64"/>
    <w:rsid w:val="00585CA5"/>
    <w:rsid w:val="00586A21"/>
    <w:rsid w:val="005876CA"/>
    <w:rsid w:val="00587C36"/>
    <w:rsid w:val="00591589"/>
    <w:rsid w:val="00593083"/>
    <w:rsid w:val="00597F8B"/>
    <w:rsid w:val="005A00B3"/>
    <w:rsid w:val="005A12A2"/>
    <w:rsid w:val="005A1A29"/>
    <w:rsid w:val="005A1DAD"/>
    <w:rsid w:val="005A1E4E"/>
    <w:rsid w:val="005A29EF"/>
    <w:rsid w:val="005A2FE4"/>
    <w:rsid w:val="005A3BBC"/>
    <w:rsid w:val="005A46D0"/>
    <w:rsid w:val="005A5510"/>
    <w:rsid w:val="005A6DD8"/>
    <w:rsid w:val="005A756A"/>
    <w:rsid w:val="005A769F"/>
    <w:rsid w:val="005A796D"/>
    <w:rsid w:val="005B0436"/>
    <w:rsid w:val="005B18CB"/>
    <w:rsid w:val="005B29BA"/>
    <w:rsid w:val="005B376A"/>
    <w:rsid w:val="005B38AF"/>
    <w:rsid w:val="005B5E46"/>
    <w:rsid w:val="005B6E96"/>
    <w:rsid w:val="005B7245"/>
    <w:rsid w:val="005C0379"/>
    <w:rsid w:val="005C0BA9"/>
    <w:rsid w:val="005C0CEA"/>
    <w:rsid w:val="005C12B1"/>
    <w:rsid w:val="005C191F"/>
    <w:rsid w:val="005C35BD"/>
    <w:rsid w:val="005C3ECE"/>
    <w:rsid w:val="005C73E4"/>
    <w:rsid w:val="005D2D33"/>
    <w:rsid w:val="005D3A6E"/>
    <w:rsid w:val="005D47B3"/>
    <w:rsid w:val="005D4810"/>
    <w:rsid w:val="005D4EC1"/>
    <w:rsid w:val="005D5680"/>
    <w:rsid w:val="005E15BA"/>
    <w:rsid w:val="005E21F1"/>
    <w:rsid w:val="005E2E7D"/>
    <w:rsid w:val="005E3F07"/>
    <w:rsid w:val="005E548C"/>
    <w:rsid w:val="005E7AEA"/>
    <w:rsid w:val="005E7B30"/>
    <w:rsid w:val="005F0F4B"/>
    <w:rsid w:val="005F5D7E"/>
    <w:rsid w:val="005F66CB"/>
    <w:rsid w:val="00600161"/>
    <w:rsid w:val="00601BDC"/>
    <w:rsid w:val="00601E1B"/>
    <w:rsid w:val="00602ADB"/>
    <w:rsid w:val="00603E5B"/>
    <w:rsid w:val="006042BB"/>
    <w:rsid w:val="00604878"/>
    <w:rsid w:val="006057D0"/>
    <w:rsid w:val="006072F8"/>
    <w:rsid w:val="0060732C"/>
    <w:rsid w:val="00612246"/>
    <w:rsid w:val="006152B5"/>
    <w:rsid w:val="00615703"/>
    <w:rsid w:val="00615BCD"/>
    <w:rsid w:val="00617513"/>
    <w:rsid w:val="00620484"/>
    <w:rsid w:val="00622E88"/>
    <w:rsid w:val="00623183"/>
    <w:rsid w:val="0062395D"/>
    <w:rsid w:val="00624573"/>
    <w:rsid w:val="006268A1"/>
    <w:rsid w:val="00626ADD"/>
    <w:rsid w:val="00626DE0"/>
    <w:rsid w:val="00626F74"/>
    <w:rsid w:val="00630A6B"/>
    <w:rsid w:val="006340A8"/>
    <w:rsid w:val="00634896"/>
    <w:rsid w:val="00634D10"/>
    <w:rsid w:val="00637ADC"/>
    <w:rsid w:val="0064323F"/>
    <w:rsid w:val="006436C9"/>
    <w:rsid w:val="006453A0"/>
    <w:rsid w:val="00645845"/>
    <w:rsid w:val="006464E3"/>
    <w:rsid w:val="006468BE"/>
    <w:rsid w:val="00647F40"/>
    <w:rsid w:val="006532AF"/>
    <w:rsid w:val="00654C94"/>
    <w:rsid w:val="00656435"/>
    <w:rsid w:val="0065645F"/>
    <w:rsid w:val="00656C0D"/>
    <w:rsid w:val="00656C74"/>
    <w:rsid w:val="00657718"/>
    <w:rsid w:val="00660BBB"/>
    <w:rsid w:val="006615E0"/>
    <w:rsid w:val="006634B6"/>
    <w:rsid w:val="00664644"/>
    <w:rsid w:val="00664836"/>
    <w:rsid w:val="006651EA"/>
    <w:rsid w:val="0067051E"/>
    <w:rsid w:val="00670558"/>
    <w:rsid w:val="00671228"/>
    <w:rsid w:val="00671FDF"/>
    <w:rsid w:val="00673439"/>
    <w:rsid w:val="00673900"/>
    <w:rsid w:val="006749F3"/>
    <w:rsid w:val="00674EFD"/>
    <w:rsid w:val="0067543E"/>
    <w:rsid w:val="006757BA"/>
    <w:rsid w:val="00675E3C"/>
    <w:rsid w:val="00677085"/>
    <w:rsid w:val="00680234"/>
    <w:rsid w:val="006807DE"/>
    <w:rsid w:val="00680AD3"/>
    <w:rsid w:val="00680FFC"/>
    <w:rsid w:val="006812B6"/>
    <w:rsid w:val="00681ED3"/>
    <w:rsid w:val="006846D8"/>
    <w:rsid w:val="0068518B"/>
    <w:rsid w:val="00685705"/>
    <w:rsid w:val="00685A38"/>
    <w:rsid w:val="0068633D"/>
    <w:rsid w:val="00694297"/>
    <w:rsid w:val="006953DF"/>
    <w:rsid w:val="0069570F"/>
    <w:rsid w:val="00697625"/>
    <w:rsid w:val="00697A1E"/>
    <w:rsid w:val="00697A7A"/>
    <w:rsid w:val="006A0EDC"/>
    <w:rsid w:val="006A135B"/>
    <w:rsid w:val="006A19BE"/>
    <w:rsid w:val="006A1D37"/>
    <w:rsid w:val="006A2999"/>
    <w:rsid w:val="006A3699"/>
    <w:rsid w:val="006A520E"/>
    <w:rsid w:val="006A5DC3"/>
    <w:rsid w:val="006A621D"/>
    <w:rsid w:val="006A6696"/>
    <w:rsid w:val="006A7072"/>
    <w:rsid w:val="006A768A"/>
    <w:rsid w:val="006A7898"/>
    <w:rsid w:val="006B1F6A"/>
    <w:rsid w:val="006B2CDB"/>
    <w:rsid w:val="006B2D22"/>
    <w:rsid w:val="006B5C9D"/>
    <w:rsid w:val="006B5F07"/>
    <w:rsid w:val="006B611B"/>
    <w:rsid w:val="006B79ED"/>
    <w:rsid w:val="006C095F"/>
    <w:rsid w:val="006C1D99"/>
    <w:rsid w:val="006C1E14"/>
    <w:rsid w:val="006C1F48"/>
    <w:rsid w:val="006C2335"/>
    <w:rsid w:val="006C2D83"/>
    <w:rsid w:val="006C40BB"/>
    <w:rsid w:val="006C40D2"/>
    <w:rsid w:val="006C41C4"/>
    <w:rsid w:val="006C465B"/>
    <w:rsid w:val="006C5436"/>
    <w:rsid w:val="006C5A59"/>
    <w:rsid w:val="006C7CE3"/>
    <w:rsid w:val="006D0E50"/>
    <w:rsid w:val="006D30AB"/>
    <w:rsid w:val="006D6654"/>
    <w:rsid w:val="006D6DEC"/>
    <w:rsid w:val="006E0E73"/>
    <w:rsid w:val="006E3A98"/>
    <w:rsid w:val="006E465D"/>
    <w:rsid w:val="006E504F"/>
    <w:rsid w:val="006E59DA"/>
    <w:rsid w:val="006E76C8"/>
    <w:rsid w:val="006F2FE8"/>
    <w:rsid w:val="006F3628"/>
    <w:rsid w:val="006F3D66"/>
    <w:rsid w:val="006F45F4"/>
    <w:rsid w:val="006F4F0D"/>
    <w:rsid w:val="006F580F"/>
    <w:rsid w:val="006F670E"/>
    <w:rsid w:val="006F74C9"/>
    <w:rsid w:val="007001C2"/>
    <w:rsid w:val="00700D62"/>
    <w:rsid w:val="00701808"/>
    <w:rsid w:val="00701D18"/>
    <w:rsid w:val="007070E8"/>
    <w:rsid w:val="00710D04"/>
    <w:rsid w:val="00711BDE"/>
    <w:rsid w:val="0071205D"/>
    <w:rsid w:val="00714616"/>
    <w:rsid w:val="007153D8"/>
    <w:rsid w:val="00717703"/>
    <w:rsid w:val="00717AC6"/>
    <w:rsid w:val="00717C59"/>
    <w:rsid w:val="00717E25"/>
    <w:rsid w:val="007200A1"/>
    <w:rsid w:val="00720EE1"/>
    <w:rsid w:val="00721824"/>
    <w:rsid w:val="00721D94"/>
    <w:rsid w:val="0072291C"/>
    <w:rsid w:val="00723AC9"/>
    <w:rsid w:val="00724184"/>
    <w:rsid w:val="00724FC3"/>
    <w:rsid w:val="0072542E"/>
    <w:rsid w:val="00725A14"/>
    <w:rsid w:val="00725BA1"/>
    <w:rsid w:val="00725C03"/>
    <w:rsid w:val="007266A4"/>
    <w:rsid w:val="007268AE"/>
    <w:rsid w:val="00727733"/>
    <w:rsid w:val="00731E06"/>
    <w:rsid w:val="00733098"/>
    <w:rsid w:val="00735067"/>
    <w:rsid w:val="00735690"/>
    <w:rsid w:val="007405BD"/>
    <w:rsid w:val="0074065A"/>
    <w:rsid w:val="007418BD"/>
    <w:rsid w:val="007418DD"/>
    <w:rsid w:val="00742073"/>
    <w:rsid w:val="007438BB"/>
    <w:rsid w:val="007439CB"/>
    <w:rsid w:val="0074472C"/>
    <w:rsid w:val="007457FD"/>
    <w:rsid w:val="007461C9"/>
    <w:rsid w:val="0074662A"/>
    <w:rsid w:val="0074673E"/>
    <w:rsid w:val="00746A2E"/>
    <w:rsid w:val="00746B88"/>
    <w:rsid w:val="00751074"/>
    <w:rsid w:val="0075204F"/>
    <w:rsid w:val="00753614"/>
    <w:rsid w:val="007539EB"/>
    <w:rsid w:val="00753CB2"/>
    <w:rsid w:val="00755446"/>
    <w:rsid w:val="0075655D"/>
    <w:rsid w:val="00756723"/>
    <w:rsid w:val="00756EE8"/>
    <w:rsid w:val="00757D67"/>
    <w:rsid w:val="007608CF"/>
    <w:rsid w:val="007617AB"/>
    <w:rsid w:val="00761D59"/>
    <w:rsid w:val="00761E3D"/>
    <w:rsid w:val="00762A00"/>
    <w:rsid w:val="00763F41"/>
    <w:rsid w:val="00764279"/>
    <w:rsid w:val="007645CE"/>
    <w:rsid w:val="007718D9"/>
    <w:rsid w:val="00771C55"/>
    <w:rsid w:val="007727DC"/>
    <w:rsid w:val="00772924"/>
    <w:rsid w:val="007740E7"/>
    <w:rsid w:val="007742F2"/>
    <w:rsid w:val="0077509A"/>
    <w:rsid w:val="00775258"/>
    <w:rsid w:val="007760E4"/>
    <w:rsid w:val="00777707"/>
    <w:rsid w:val="00777E42"/>
    <w:rsid w:val="00780362"/>
    <w:rsid w:val="007804C2"/>
    <w:rsid w:val="007822F8"/>
    <w:rsid w:val="00782692"/>
    <w:rsid w:val="00782E4C"/>
    <w:rsid w:val="00783A74"/>
    <w:rsid w:val="00783ED4"/>
    <w:rsid w:val="00786863"/>
    <w:rsid w:val="007879B7"/>
    <w:rsid w:val="007904D3"/>
    <w:rsid w:val="00790EF3"/>
    <w:rsid w:val="00791C31"/>
    <w:rsid w:val="00793378"/>
    <w:rsid w:val="00793B2F"/>
    <w:rsid w:val="0079540A"/>
    <w:rsid w:val="00796AA5"/>
    <w:rsid w:val="00797AC5"/>
    <w:rsid w:val="007A0590"/>
    <w:rsid w:val="007A1353"/>
    <w:rsid w:val="007A1D36"/>
    <w:rsid w:val="007A2739"/>
    <w:rsid w:val="007A446C"/>
    <w:rsid w:val="007A479A"/>
    <w:rsid w:val="007A699A"/>
    <w:rsid w:val="007A7280"/>
    <w:rsid w:val="007A7600"/>
    <w:rsid w:val="007A7B59"/>
    <w:rsid w:val="007B0591"/>
    <w:rsid w:val="007B070B"/>
    <w:rsid w:val="007B1597"/>
    <w:rsid w:val="007B16B9"/>
    <w:rsid w:val="007B1C08"/>
    <w:rsid w:val="007B21B3"/>
    <w:rsid w:val="007B3869"/>
    <w:rsid w:val="007B5297"/>
    <w:rsid w:val="007B5E1E"/>
    <w:rsid w:val="007B6240"/>
    <w:rsid w:val="007B6AF6"/>
    <w:rsid w:val="007C100C"/>
    <w:rsid w:val="007C3517"/>
    <w:rsid w:val="007C40C9"/>
    <w:rsid w:val="007C5870"/>
    <w:rsid w:val="007C6B82"/>
    <w:rsid w:val="007C6CA1"/>
    <w:rsid w:val="007C7D44"/>
    <w:rsid w:val="007D19D5"/>
    <w:rsid w:val="007D353E"/>
    <w:rsid w:val="007D5307"/>
    <w:rsid w:val="007D642B"/>
    <w:rsid w:val="007D6827"/>
    <w:rsid w:val="007D6A3D"/>
    <w:rsid w:val="007D6E9F"/>
    <w:rsid w:val="007D75A3"/>
    <w:rsid w:val="007D7750"/>
    <w:rsid w:val="007D7CC1"/>
    <w:rsid w:val="007E115D"/>
    <w:rsid w:val="007E195E"/>
    <w:rsid w:val="007E45BC"/>
    <w:rsid w:val="007E7C3A"/>
    <w:rsid w:val="007F0B8F"/>
    <w:rsid w:val="007F0CDB"/>
    <w:rsid w:val="007F0FEE"/>
    <w:rsid w:val="007F16BE"/>
    <w:rsid w:val="007F2CB0"/>
    <w:rsid w:val="007F4D77"/>
    <w:rsid w:val="007F68FA"/>
    <w:rsid w:val="00800AA5"/>
    <w:rsid w:val="008019A2"/>
    <w:rsid w:val="008025AA"/>
    <w:rsid w:val="00802AA3"/>
    <w:rsid w:val="00803D69"/>
    <w:rsid w:val="00803F30"/>
    <w:rsid w:val="00803F4D"/>
    <w:rsid w:val="00804BB8"/>
    <w:rsid w:val="00805D51"/>
    <w:rsid w:val="00806ED0"/>
    <w:rsid w:val="008072C4"/>
    <w:rsid w:val="00807816"/>
    <w:rsid w:val="008102F1"/>
    <w:rsid w:val="00810845"/>
    <w:rsid w:val="00811A4E"/>
    <w:rsid w:val="00811B14"/>
    <w:rsid w:val="00812C6B"/>
    <w:rsid w:val="0081302E"/>
    <w:rsid w:val="00813B68"/>
    <w:rsid w:val="008152F4"/>
    <w:rsid w:val="00815D46"/>
    <w:rsid w:val="00817EA7"/>
    <w:rsid w:val="0082132C"/>
    <w:rsid w:val="00822ADF"/>
    <w:rsid w:val="00824EBF"/>
    <w:rsid w:val="00830C08"/>
    <w:rsid w:val="00832103"/>
    <w:rsid w:val="008346D4"/>
    <w:rsid w:val="008360AA"/>
    <w:rsid w:val="0083752C"/>
    <w:rsid w:val="00841390"/>
    <w:rsid w:val="008427BE"/>
    <w:rsid w:val="00842E23"/>
    <w:rsid w:val="00843DD3"/>
    <w:rsid w:val="00846315"/>
    <w:rsid w:val="00847A35"/>
    <w:rsid w:val="00847E3C"/>
    <w:rsid w:val="008502E3"/>
    <w:rsid w:val="008513E1"/>
    <w:rsid w:val="00852177"/>
    <w:rsid w:val="00852490"/>
    <w:rsid w:val="00853388"/>
    <w:rsid w:val="008540F4"/>
    <w:rsid w:val="0085435A"/>
    <w:rsid w:val="0085436C"/>
    <w:rsid w:val="0085479A"/>
    <w:rsid w:val="00855726"/>
    <w:rsid w:val="008571DA"/>
    <w:rsid w:val="008608B9"/>
    <w:rsid w:val="00861E2A"/>
    <w:rsid w:val="008649AA"/>
    <w:rsid w:val="008657A8"/>
    <w:rsid w:val="008662E0"/>
    <w:rsid w:val="008670EB"/>
    <w:rsid w:val="00867B45"/>
    <w:rsid w:val="008701D6"/>
    <w:rsid w:val="00870C16"/>
    <w:rsid w:val="00872B85"/>
    <w:rsid w:val="00874E64"/>
    <w:rsid w:val="008772D8"/>
    <w:rsid w:val="0087734D"/>
    <w:rsid w:val="00877A42"/>
    <w:rsid w:val="00880451"/>
    <w:rsid w:val="008828FA"/>
    <w:rsid w:val="00883ECC"/>
    <w:rsid w:val="008850BA"/>
    <w:rsid w:val="00885DBC"/>
    <w:rsid w:val="00886656"/>
    <w:rsid w:val="008868B6"/>
    <w:rsid w:val="00886F05"/>
    <w:rsid w:val="0088726B"/>
    <w:rsid w:val="00887B47"/>
    <w:rsid w:val="00890AC6"/>
    <w:rsid w:val="00890FDA"/>
    <w:rsid w:val="00891D2C"/>
    <w:rsid w:val="008935BC"/>
    <w:rsid w:val="00893C10"/>
    <w:rsid w:val="00893CD8"/>
    <w:rsid w:val="00894DED"/>
    <w:rsid w:val="00895BD6"/>
    <w:rsid w:val="00895CDD"/>
    <w:rsid w:val="008A004B"/>
    <w:rsid w:val="008A19E4"/>
    <w:rsid w:val="008A25C5"/>
    <w:rsid w:val="008A3234"/>
    <w:rsid w:val="008A4655"/>
    <w:rsid w:val="008A4B33"/>
    <w:rsid w:val="008A4CCA"/>
    <w:rsid w:val="008A5BE8"/>
    <w:rsid w:val="008A6556"/>
    <w:rsid w:val="008A6672"/>
    <w:rsid w:val="008A6EB3"/>
    <w:rsid w:val="008A7342"/>
    <w:rsid w:val="008A7D31"/>
    <w:rsid w:val="008A7EC1"/>
    <w:rsid w:val="008A7F02"/>
    <w:rsid w:val="008B05E0"/>
    <w:rsid w:val="008B272F"/>
    <w:rsid w:val="008B3F10"/>
    <w:rsid w:val="008B45F0"/>
    <w:rsid w:val="008B4C41"/>
    <w:rsid w:val="008B569F"/>
    <w:rsid w:val="008B5A51"/>
    <w:rsid w:val="008B5DD4"/>
    <w:rsid w:val="008B5DD5"/>
    <w:rsid w:val="008B6DCB"/>
    <w:rsid w:val="008B7144"/>
    <w:rsid w:val="008B7455"/>
    <w:rsid w:val="008C04D4"/>
    <w:rsid w:val="008C1894"/>
    <w:rsid w:val="008C6033"/>
    <w:rsid w:val="008D0A4B"/>
    <w:rsid w:val="008D1071"/>
    <w:rsid w:val="008D11A5"/>
    <w:rsid w:val="008D1A13"/>
    <w:rsid w:val="008D31E5"/>
    <w:rsid w:val="008D4A0B"/>
    <w:rsid w:val="008D575F"/>
    <w:rsid w:val="008D5DEB"/>
    <w:rsid w:val="008D6B33"/>
    <w:rsid w:val="008D7835"/>
    <w:rsid w:val="008E0064"/>
    <w:rsid w:val="008E0448"/>
    <w:rsid w:val="008E0818"/>
    <w:rsid w:val="008E12A4"/>
    <w:rsid w:val="008E2413"/>
    <w:rsid w:val="008E2D08"/>
    <w:rsid w:val="008E3227"/>
    <w:rsid w:val="008E38E2"/>
    <w:rsid w:val="008E4876"/>
    <w:rsid w:val="008E51D1"/>
    <w:rsid w:val="008F39E4"/>
    <w:rsid w:val="008F4224"/>
    <w:rsid w:val="008F6A8A"/>
    <w:rsid w:val="008F7C44"/>
    <w:rsid w:val="009012C8"/>
    <w:rsid w:val="009015F6"/>
    <w:rsid w:val="0090539D"/>
    <w:rsid w:val="00910F20"/>
    <w:rsid w:val="00911704"/>
    <w:rsid w:val="00912004"/>
    <w:rsid w:val="0091363E"/>
    <w:rsid w:val="009139EA"/>
    <w:rsid w:val="00914016"/>
    <w:rsid w:val="0091660C"/>
    <w:rsid w:val="0092108B"/>
    <w:rsid w:val="009211B2"/>
    <w:rsid w:val="00921A5C"/>
    <w:rsid w:val="00922315"/>
    <w:rsid w:val="00923218"/>
    <w:rsid w:val="00923B2B"/>
    <w:rsid w:val="00923F57"/>
    <w:rsid w:val="00924180"/>
    <w:rsid w:val="009245FC"/>
    <w:rsid w:val="00925375"/>
    <w:rsid w:val="00925887"/>
    <w:rsid w:val="00927312"/>
    <w:rsid w:val="009330A4"/>
    <w:rsid w:val="009340B8"/>
    <w:rsid w:val="00934534"/>
    <w:rsid w:val="00934732"/>
    <w:rsid w:val="00934E35"/>
    <w:rsid w:val="009373EB"/>
    <w:rsid w:val="0094209E"/>
    <w:rsid w:val="00942C94"/>
    <w:rsid w:val="00944548"/>
    <w:rsid w:val="00945CD8"/>
    <w:rsid w:val="00946731"/>
    <w:rsid w:val="009471E0"/>
    <w:rsid w:val="00950140"/>
    <w:rsid w:val="009513E7"/>
    <w:rsid w:val="00951517"/>
    <w:rsid w:val="00951775"/>
    <w:rsid w:val="00951E68"/>
    <w:rsid w:val="0095200B"/>
    <w:rsid w:val="009520E4"/>
    <w:rsid w:val="009544E5"/>
    <w:rsid w:val="009549EF"/>
    <w:rsid w:val="009558C2"/>
    <w:rsid w:val="00955B49"/>
    <w:rsid w:val="00955DBA"/>
    <w:rsid w:val="009560FD"/>
    <w:rsid w:val="009561AF"/>
    <w:rsid w:val="00960639"/>
    <w:rsid w:val="00960DAB"/>
    <w:rsid w:val="00961EDE"/>
    <w:rsid w:val="009626CF"/>
    <w:rsid w:val="00962AC0"/>
    <w:rsid w:val="0097231C"/>
    <w:rsid w:val="00972519"/>
    <w:rsid w:val="00972835"/>
    <w:rsid w:val="00973169"/>
    <w:rsid w:val="0097364E"/>
    <w:rsid w:val="009736C5"/>
    <w:rsid w:val="00974260"/>
    <w:rsid w:val="00974598"/>
    <w:rsid w:val="00975072"/>
    <w:rsid w:val="009764EE"/>
    <w:rsid w:val="009775D6"/>
    <w:rsid w:val="009808AD"/>
    <w:rsid w:val="00980C18"/>
    <w:rsid w:val="00981635"/>
    <w:rsid w:val="00981CEE"/>
    <w:rsid w:val="009824BD"/>
    <w:rsid w:val="00982BA1"/>
    <w:rsid w:val="00983575"/>
    <w:rsid w:val="009849EF"/>
    <w:rsid w:val="00985176"/>
    <w:rsid w:val="00986703"/>
    <w:rsid w:val="00986D91"/>
    <w:rsid w:val="00990A46"/>
    <w:rsid w:val="009913A5"/>
    <w:rsid w:val="00991678"/>
    <w:rsid w:val="00992639"/>
    <w:rsid w:val="00993654"/>
    <w:rsid w:val="00994B6F"/>
    <w:rsid w:val="009958C4"/>
    <w:rsid w:val="00995D95"/>
    <w:rsid w:val="00996AE4"/>
    <w:rsid w:val="00997965"/>
    <w:rsid w:val="00997E22"/>
    <w:rsid w:val="00997EA3"/>
    <w:rsid w:val="009A05F4"/>
    <w:rsid w:val="009A1197"/>
    <w:rsid w:val="009A22FE"/>
    <w:rsid w:val="009A2492"/>
    <w:rsid w:val="009A27D1"/>
    <w:rsid w:val="009A3F43"/>
    <w:rsid w:val="009A4237"/>
    <w:rsid w:val="009A4671"/>
    <w:rsid w:val="009A50B0"/>
    <w:rsid w:val="009A514D"/>
    <w:rsid w:val="009A55E9"/>
    <w:rsid w:val="009A666A"/>
    <w:rsid w:val="009A6B7D"/>
    <w:rsid w:val="009A6BA0"/>
    <w:rsid w:val="009A6F8A"/>
    <w:rsid w:val="009B06F4"/>
    <w:rsid w:val="009B427C"/>
    <w:rsid w:val="009B55C9"/>
    <w:rsid w:val="009B5FC2"/>
    <w:rsid w:val="009C0917"/>
    <w:rsid w:val="009C282C"/>
    <w:rsid w:val="009C2FFD"/>
    <w:rsid w:val="009C3AA6"/>
    <w:rsid w:val="009C3B97"/>
    <w:rsid w:val="009C3FEE"/>
    <w:rsid w:val="009C6E20"/>
    <w:rsid w:val="009C79B7"/>
    <w:rsid w:val="009D0C76"/>
    <w:rsid w:val="009D0E0C"/>
    <w:rsid w:val="009D1121"/>
    <w:rsid w:val="009D1440"/>
    <w:rsid w:val="009D1F58"/>
    <w:rsid w:val="009D5584"/>
    <w:rsid w:val="009D623A"/>
    <w:rsid w:val="009D6A23"/>
    <w:rsid w:val="009E26A3"/>
    <w:rsid w:val="009E34E0"/>
    <w:rsid w:val="009E6222"/>
    <w:rsid w:val="009F020D"/>
    <w:rsid w:val="009F1E97"/>
    <w:rsid w:val="009F3B47"/>
    <w:rsid w:val="009F45E1"/>
    <w:rsid w:val="009F4A7F"/>
    <w:rsid w:val="009F4CC3"/>
    <w:rsid w:val="00A020A3"/>
    <w:rsid w:val="00A02D76"/>
    <w:rsid w:val="00A02E86"/>
    <w:rsid w:val="00A03E16"/>
    <w:rsid w:val="00A050AF"/>
    <w:rsid w:val="00A05700"/>
    <w:rsid w:val="00A06DE8"/>
    <w:rsid w:val="00A06FF2"/>
    <w:rsid w:val="00A07105"/>
    <w:rsid w:val="00A07B99"/>
    <w:rsid w:val="00A07E93"/>
    <w:rsid w:val="00A1003F"/>
    <w:rsid w:val="00A10FA2"/>
    <w:rsid w:val="00A11377"/>
    <w:rsid w:val="00A114D8"/>
    <w:rsid w:val="00A11932"/>
    <w:rsid w:val="00A11A83"/>
    <w:rsid w:val="00A12983"/>
    <w:rsid w:val="00A12BFA"/>
    <w:rsid w:val="00A12F46"/>
    <w:rsid w:val="00A134B6"/>
    <w:rsid w:val="00A13737"/>
    <w:rsid w:val="00A139A6"/>
    <w:rsid w:val="00A13BF1"/>
    <w:rsid w:val="00A14031"/>
    <w:rsid w:val="00A1596A"/>
    <w:rsid w:val="00A20282"/>
    <w:rsid w:val="00A21F13"/>
    <w:rsid w:val="00A22342"/>
    <w:rsid w:val="00A23E8C"/>
    <w:rsid w:val="00A24378"/>
    <w:rsid w:val="00A249BC"/>
    <w:rsid w:val="00A250B0"/>
    <w:rsid w:val="00A269BA"/>
    <w:rsid w:val="00A26AF6"/>
    <w:rsid w:val="00A26E06"/>
    <w:rsid w:val="00A27338"/>
    <w:rsid w:val="00A30638"/>
    <w:rsid w:val="00A334D3"/>
    <w:rsid w:val="00A340DC"/>
    <w:rsid w:val="00A34BF7"/>
    <w:rsid w:val="00A34D15"/>
    <w:rsid w:val="00A3583F"/>
    <w:rsid w:val="00A35BE1"/>
    <w:rsid w:val="00A36839"/>
    <w:rsid w:val="00A36B32"/>
    <w:rsid w:val="00A37FC0"/>
    <w:rsid w:val="00A407DB"/>
    <w:rsid w:val="00A40CCD"/>
    <w:rsid w:val="00A41417"/>
    <w:rsid w:val="00A42EB2"/>
    <w:rsid w:val="00A44F0B"/>
    <w:rsid w:val="00A4507F"/>
    <w:rsid w:val="00A45877"/>
    <w:rsid w:val="00A46D49"/>
    <w:rsid w:val="00A478CF"/>
    <w:rsid w:val="00A5059B"/>
    <w:rsid w:val="00A539BF"/>
    <w:rsid w:val="00A54E02"/>
    <w:rsid w:val="00A564AB"/>
    <w:rsid w:val="00A57619"/>
    <w:rsid w:val="00A57735"/>
    <w:rsid w:val="00A57EFA"/>
    <w:rsid w:val="00A60914"/>
    <w:rsid w:val="00A60E71"/>
    <w:rsid w:val="00A63045"/>
    <w:rsid w:val="00A63E8E"/>
    <w:rsid w:val="00A63FBF"/>
    <w:rsid w:val="00A65558"/>
    <w:rsid w:val="00A65EB0"/>
    <w:rsid w:val="00A670D5"/>
    <w:rsid w:val="00A67664"/>
    <w:rsid w:val="00A67ADE"/>
    <w:rsid w:val="00A67EBC"/>
    <w:rsid w:val="00A70F16"/>
    <w:rsid w:val="00A72750"/>
    <w:rsid w:val="00A7795C"/>
    <w:rsid w:val="00A81FF0"/>
    <w:rsid w:val="00A8302D"/>
    <w:rsid w:val="00A8408D"/>
    <w:rsid w:val="00A8471F"/>
    <w:rsid w:val="00A85218"/>
    <w:rsid w:val="00A858C1"/>
    <w:rsid w:val="00A901AC"/>
    <w:rsid w:val="00A921B3"/>
    <w:rsid w:val="00A92FAA"/>
    <w:rsid w:val="00A93FFA"/>
    <w:rsid w:val="00A94C6F"/>
    <w:rsid w:val="00A958A5"/>
    <w:rsid w:val="00A963F3"/>
    <w:rsid w:val="00A96438"/>
    <w:rsid w:val="00A97618"/>
    <w:rsid w:val="00A9794D"/>
    <w:rsid w:val="00AA232C"/>
    <w:rsid w:val="00AA26AA"/>
    <w:rsid w:val="00AA431E"/>
    <w:rsid w:val="00AA511A"/>
    <w:rsid w:val="00AA58FF"/>
    <w:rsid w:val="00AA5FE1"/>
    <w:rsid w:val="00AA61A1"/>
    <w:rsid w:val="00AA7100"/>
    <w:rsid w:val="00AB13AE"/>
    <w:rsid w:val="00AB2E6C"/>
    <w:rsid w:val="00AB3523"/>
    <w:rsid w:val="00AB475F"/>
    <w:rsid w:val="00AB518C"/>
    <w:rsid w:val="00AB69B8"/>
    <w:rsid w:val="00AB7CE0"/>
    <w:rsid w:val="00AB7E8A"/>
    <w:rsid w:val="00AC0FA4"/>
    <w:rsid w:val="00AC1D8B"/>
    <w:rsid w:val="00AC3AC0"/>
    <w:rsid w:val="00AC589C"/>
    <w:rsid w:val="00AC661F"/>
    <w:rsid w:val="00AC6A21"/>
    <w:rsid w:val="00AC7295"/>
    <w:rsid w:val="00AC7F66"/>
    <w:rsid w:val="00AC7FC1"/>
    <w:rsid w:val="00AD124B"/>
    <w:rsid w:val="00AD1B2A"/>
    <w:rsid w:val="00AD1B43"/>
    <w:rsid w:val="00AD2630"/>
    <w:rsid w:val="00AD2ACD"/>
    <w:rsid w:val="00AD2F5A"/>
    <w:rsid w:val="00AD70A0"/>
    <w:rsid w:val="00AD7E77"/>
    <w:rsid w:val="00AD7FFD"/>
    <w:rsid w:val="00AE072C"/>
    <w:rsid w:val="00AE0734"/>
    <w:rsid w:val="00AE1018"/>
    <w:rsid w:val="00AE2E50"/>
    <w:rsid w:val="00AE31AF"/>
    <w:rsid w:val="00AE58B8"/>
    <w:rsid w:val="00AE5948"/>
    <w:rsid w:val="00AF00C1"/>
    <w:rsid w:val="00AF0B91"/>
    <w:rsid w:val="00AF0B93"/>
    <w:rsid w:val="00AF0E09"/>
    <w:rsid w:val="00AF17CB"/>
    <w:rsid w:val="00AF381F"/>
    <w:rsid w:val="00AF38BF"/>
    <w:rsid w:val="00AF522C"/>
    <w:rsid w:val="00AF5297"/>
    <w:rsid w:val="00AF584E"/>
    <w:rsid w:val="00AF6B87"/>
    <w:rsid w:val="00AF6D59"/>
    <w:rsid w:val="00B00230"/>
    <w:rsid w:val="00B00AF0"/>
    <w:rsid w:val="00B01FDC"/>
    <w:rsid w:val="00B02546"/>
    <w:rsid w:val="00B039C0"/>
    <w:rsid w:val="00B0400E"/>
    <w:rsid w:val="00B053D1"/>
    <w:rsid w:val="00B105FD"/>
    <w:rsid w:val="00B10676"/>
    <w:rsid w:val="00B11306"/>
    <w:rsid w:val="00B11FE9"/>
    <w:rsid w:val="00B12433"/>
    <w:rsid w:val="00B1287F"/>
    <w:rsid w:val="00B13C03"/>
    <w:rsid w:val="00B14B4F"/>
    <w:rsid w:val="00B14C46"/>
    <w:rsid w:val="00B14D75"/>
    <w:rsid w:val="00B15FA8"/>
    <w:rsid w:val="00B16067"/>
    <w:rsid w:val="00B16AD8"/>
    <w:rsid w:val="00B17516"/>
    <w:rsid w:val="00B20265"/>
    <w:rsid w:val="00B20E9B"/>
    <w:rsid w:val="00B220D1"/>
    <w:rsid w:val="00B22550"/>
    <w:rsid w:val="00B23830"/>
    <w:rsid w:val="00B24BA3"/>
    <w:rsid w:val="00B252DB"/>
    <w:rsid w:val="00B3008F"/>
    <w:rsid w:val="00B304CC"/>
    <w:rsid w:val="00B309E5"/>
    <w:rsid w:val="00B311AF"/>
    <w:rsid w:val="00B31322"/>
    <w:rsid w:val="00B32963"/>
    <w:rsid w:val="00B32B8F"/>
    <w:rsid w:val="00B338D0"/>
    <w:rsid w:val="00B34748"/>
    <w:rsid w:val="00B347CD"/>
    <w:rsid w:val="00B35D1E"/>
    <w:rsid w:val="00B36433"/>
    <w:rsid w:val="00B364C5"/>
    <w:rsid w:val="00B37B56"/>
    <w:rsid w:val="00B37C5E"/>
    <w:rsid w:val="00B407FF"/>
    <w:rsid w:val="00B43532"/>
    <w:rsid w:val="00B44B34"/>
    <w:rsid w:val="00B4665F"/>
    <w:rsid w:val="00B46F06"/>
    <w:rsid w:val="00B51EFF"/>
    <w:rsid w:val="00B52115"/>
    <w:rsid w:val="00B52806"/>
    <w:rsid w:val="00B566BD"/>
    <w:rsid w:val="00B57605"/>
    <w:rsid w:val="00B600F4"/>
    <w:rsid w:val="00B60F2F"/>
    <w:rsid w:val="00B61818"/>
    <w:rsid w:val="00B61F22"/>
    <w:rsid w:val="00B632B1"/>
    <w:rsid w:val="00B64656"/>
    <w:rsid w:val="00B64B16"/>
    <w:rsid w:val="00B65881"/>
    <w:rsid w:val="00B65B5E"/>
    <w:rsid w:val="00B67FF5"/>
    <w:rsid w:val="00B704E1"/>
    <w:rsid w:val="00B7098D"/>
    <w:rsid w:val="00B7138B"/>
    <w:rsid w:val="00B720BF"/>
    <w:rsid w:val="00B735A7"/>
    <w:rsid w:val="00B735D1"/>
    <w:rsid w:val="00B744C7"/>
    <w:rsid w:val="00B74B7B"/>
    <w:rsid w:val="00B76106"/>
    <w:rsid w:val="00B765D5"/>
    <w:rsid w:val="00B769C1"/>
    <w:rsid w:val="00B76B5E"/>
    <w:rsid w:val="00B77F5D"/>
    <w:rsid w:val="00B806C9"/>
    <w:rsid w:val="00B81D85"/>
    <w:rsid w:val="00B81F66"/>
    <w:rsid w:val="00B8388E"/>
    <w:rsid w:val="00B85724"/>
    <w:rsid w:val="00B86867"/>
    <w:rsid w:val="00B86FCE"/>
    <w:rsid w:val="00B87F94"/>
    <w:rsid w:val="00B901EB"/>
    <w:rsid w:val="00B907CA"/>
    <w:rsid w:val="00B9208B"/>
    <w:rsid w:val="00B9221A"/>
    <w:rsid w:val="00B936C1"/>
    <w:rsid w:val="00B946B3"/>
    <w:rsid w:val="00B94B45"/>
    <w:rsid w:val="00B9502E"/>
    <w:rsid w:val="00B95527"/>
    <w:rsid w:val="00B9599F"/>
    <w:rsid w:val="00B96673"/>
    <w:rsid w:val="00B97999"/>
    <w:rsid w:val="00BA0936"/>
    <w:rsid w:val="00BA217D"/>
    <w:rsid w:val="00BA26EA"/>
    <w:rsid w:val="00BA3CD4"/>
    <w:rsid w:val="00BA4277"/>
    <w:rsid w:val="00BB61AA"/>
    <w:rsid w:val="00BB692C"/>
    <w:rsid w:val="00BC0A51"/>
    <w:rsid w:val="00BC0A55"/>
    <w:rsid w:val="00BC0B0C"/>
    <w:rsid w:val="00BC1696"/>
    <w:rsid w:val="00BC2CB9"/>
    <w:rsid w:val="00BC2D37"/>
    <w:rsid w:val="00BC3B48"/>
    <w:rsid w:val="00BC3E38"/>
    <w:rsid w:val="00BC5473"/>
    <w:rsid w:val="00BC549F"/>
    <w:rsid w:val="00BC5B03"/>
    <w:rsid w:val="00BC7AFC"/>
    <w:rsid w:val="00BD00E8"/>
    <w:rsid w:val="00BD130F"/>
    <w:rsid w:val="00BD182B"/>
    <w:rsid w:val="00BD1A2F"/>
    <w:rsid w:val="00BD2493"/>
    <w:rsid w:val="00BD43DE"/>
    <w:rsid w:val="00BD4FD4"/>
    <w:rsid w:val="00BD5575"/>
    <w:rsid w:val="00BD5969"/>
    <w:rsid w:val="00BD5E69"/>
    <w:rsid w:val="00BE0A69"/>
    <w:rsid w:val="00BE2F1C"/>
    <w:rsid w:val="00BE3470"/>
    <w:rsid w:val="00BE348A"/>
    <w:rsid w:val="00BE487F"/>
    <w:rsid w:val="00BE6850"/>
    <w:rsid w:val="00BF186C"/>
    <w:rsid w:val="00BF5431"/>
    <w:rsid w:val="00BF5702"/>
    <w:rsid w:val="00BF6DD9"/>
    <w:rsid w:val="00C001DE"/>
    <w:rsid w:val="00C00309"/>
    <w:rsid w:val="00C00BCC"/>
    <w:rsid w:val="00C00F80"/>
    <w:rsid w:val="00C01552"/>
    <w:rsid w:val="00C0308C"/>
    <w:rsid w:val="00C0439B"/>
    <w:rsid w:val="00C04EC9"/>
    <w:rsid w:val="00C052E4"/>
    <w:rsid w:val="00C06E39"/>
    <w:rsid w:val="00C07541"/>
    <w:rsid w:val="00C12619"/>
    <w:rsid w:val="00C1338E"/>
    <w:rsid w:val="00C15742"/>
    <w:rsid w:val="00C16C62"/>
    <w:rsid w:val="00C17DB5"/>
    <w:rsid w:val="00C20032"/>
    <w:rsid w:val="00C20121"/>
    <w:rsid w:val="00C21E98"/>
    <w:rsid w:val="00C22DC2"/>
    <w:rsid w:val="00C23A19"/>
    <w:rsid w:val="00C23B0D"/>
    <w:rsid w:val="00C2496D"/>
    <w:rsid w:val="00C267CA"/>
    <w:rsid w:val="00C26D09"/>
    <w:rsid w:val="00C30A43"/>
    <w:rsid w:val="00C3247F"/>
    <w:rsid w:val="00C324C4"/>
    <w:rsid w:val="00C3289D"/>
    <w:rsid w:val="00C332C5"/>
    <w:rsid w:val="00C378A4"/>
    <w:rsid w:val="00C406FE"/>
    <w:rsid w:val="00C4321A"/>
    <w:rsid w:val="00C43A24"/>
    <w:rsid w:val="00C445B3"/>
    <w:rsid w:val="00C46637"/>
    <w:rsid w:val="00C47389"/>
    <w:rsid w:val="00C50A40"/>
    <w:rsid w:val="00C524FD"/>
    <w:rsid w:val="00C533EC"/>
    <w:rsid w:val="00C53DA6"/>
    <w:rsid w:val="00C54861"/>
    <w:rsid w:val="00C5498D"/>
    <w:rsid w:val="00C564A2"/>
    <w:rsid w:val="00C57671"/>
    <w:rsid w:val="00C577BF"/>
    <w:rsid w:val="00C57B3C"/>
    <w:rsid w:val="00C6036A"/>
    <w:rsid w:val="00C60A5B"/>
    <w:rsid w:val="00C60F14"/>
    <w:rsid w:val="00C61EEF"/>
    <w:rsid w:val="00C629EB"/>
    <w:rsid w:val="00C62D64"/>
    <w:rsid w:val="00C63F46"/>
    <w:rsid w:val="00C64375"/>
    <w:rsid w:val="00C64E69"/>
    <w:rsid w:val="00C65102"/>
    <w:rsid w:val="00C65198"/>
    <w:rsid w:val="00C65B17"/>
    <w:rsid w:val="00C66142"/>
    <w:rsid w:val="00C6635A"/>
    <w:rsid w:val="00C66693"/>
    <w:rsid w:val="00C6683B"/>
    <w:rsid w:val="00C66AD3"/>
    <w:rsid w:val="00C67E7C"/>
    <w:rsid w:val="00C70069"/>
    <w:rsid w:val="00C7185C"/>
    <w:rsid w:val="00C74F31"/>
    <w:rsid w:val="00C76EB7"/>
    <w:rsid w:val="00C77353"/>
    <w:rsid w:val="00C77854"/>
    <w:rsid w:val="00C82016"/>
    <w:rsid w:val="00C8212B"/>
    <w:rsid w:val="00C85BA0"/>
    <w:rsid w:val="00C87CEA"/>
    <w:rsid w:val="00C90067"/>
    <w:rsid w:val="00C90F61"/>
    <w:rsid w:val="00C9183F"/>
    <w:rsid w:val="00C92203"/>
    <w:rsid w:val="00C94759"/>
    <w:rsid w:val="00C95E13"/>
    <w:rsid w:val="00C96C6F"/>
    <w:rsid w:val="00CA0D47"/>
    <w:rsid w:val="00CA0FAB"/>
    <w:rsid w:val="00CA11AE"/>
    <w:rsid w:val="00CA1800"/>
    <w:rsid w:val="00CA19E5"/>
    <w:rsid w:val="00CA24C1"/>
    <w:rsid w:val="00CA26C4"/>
    <w:rsid w:val="00CA29E3"/>
    <w:rsid w:val="00CA40E1"/>
    <w:rsid w:val="00CA4566"/>
    <w:rsid w:val="00CA4C96"/>
    <w:rsid w:val="00CA58FC"/>
    <w:rsid w:val="00CA6EB7"/>
    <w:rsid w:val="00CA757A"/>
    <w:rsid w:val="00CB0075"/>
    <w:rsid w:val="00CB4CC7"/>
    <w:rsid w:val="00CB6A55"/>
    <w:rsid w:val="00CB7BB7"/>
    <w:rsid w:val="00CB7BCE"/>
    <w:rsid w:val="00CC2B0B"/>
    <w:rsid w:val="00CC2C50"/>
    <w:rsid w:val="00CC2C94"/>
    <w:rsid w:val="00CC2F60"/>
    <w:rsid w:val="00CC3983"/>
    <w:rsid w:val="00CC67A1"/>
    <w:rsid w:val="00CC78BD"/>
    <w:rsid w:val="00CD0EE9"/>
    <w:rsid w:val="00CD22E8"/>
    <w:rsid w:val="00CD3365"/>
    <w:rsid w:val="00CD3746"/>
    <w:rsid w:val="00CD44EF"/>
    <w:rsid w:val="00CD5BC4"/>
    <w:rsid w:val="00CD69B1"/>
    <w:rsid w:val="00CD731A"/>
    <w:rsid w:val="00CD742A"/>
    <w:rsid w:val="00CE2941"/>
    <w:rsid w:val="00CE294E"/>
    <w:rsid w:val="00CE4107"/>
    <w:rsid w:val="00CE61F1"/>
    <w:rsid w:val="00CE6B67"/>
    <w:rsid w:val="00CF0DE0"/>
    <w:rsid w:val="00CF11AD"/>
    <w:rsid w:val="00CF3E31"/>
    <w:rsid w:val="00CF4E88"/>
    <w:rsid w:val="00CF4E8D"/>
    <w:rsid w:val="00CF56A3"/>
    <w:rsid w:val="00CF6E08"/>
    <w:rsid w:val="00CF6F02"/>
    <w:rsid w:val="00CF6FC2"/>
    <w:rsid w:val="00D02681"/>
    <w:rsid w:val="00D04FD6"/>
    <w:rsid w:val="00D051C2"/>
    <w:rsid w:val="00D06276"/>
    <w:rsid w:val="00D07243"/>
    <w:rsid w:val="00D123BA"/>
    <w:rsid w:val="00D1278F"/>
    <w:rsid w:val="00D14DAA"/>
    <w:rsid w:val="00D1644D"/>
    <w:rsid w:val="00D165A4"/>
    <w:rsid w:val="00D16D23"/>
    <w:rsid w:val="00D16DDF"/>
    <w:rsid w:val="00D1783B"/>
    <w:rsid w:val="00D206AF"/>
    <w:rsid w:val="00D20CE4"/>
    <w:rsid w:val="00D21F8C"/>
    <w:rsid w:val="00D221AC"/>
    <w:rsid w:val="00D22ACA"/>
    <w:rsid w:val="00D26070"/>
    <w:rsid w:val="00D26489"/>
    <w:rsid w:val="00D27353"/>
    <w:rsid w:val="00D30D0F"/>
    <w:rsid w:val="00D3177B"/>
    <w:rsid w:val="00D31D54"/>
    <w:rsid w:val="00D33F73"/>
    <w:rsid w:val="00D35A5C"/>
    <w:rsid w:val="00D36F8F"/>
    <w:rsid w:val="00D37AF5"/>
    <w:rsid w:val="00D40E0F"/>
    <w:rsid w:val="00D421B3"/>
    <w:rsid w:val="00D42CC9"/>
    <w:rsid w:val="00D42E35"/>
    <w:rsid w:val="00D4319C"/>
    <w:rsid w:val="00D446D6"/>
    <w:rsid w:val="00D47964"/>
    <w:rsid w:val="00D47CD9"/>
    <w:rsid w:val="00D50DDE"/>
    <w:rsid w:val="00D514D0"/>
    <w:rsid w:val="00D515BF"/>
    <w:rsid w:val="00D51B52"/>
    <w:rsid w:val="00D53BF3"/>
    <w:rsid w:val="00D53FD3"/>
    <w:rsid w:val="00D54716"/>
    <w:rsid w:val="00D60174"/>
    <w:rsid w:val="00D61A99"/>
    <w:rsid w:val="00D624DF"/>
    <w:rsid w:val="00D634E7"/>
    <w:rsid w:val="00D662C0"/>
    <w:rsid w:val="00D70B66"/>
    <w:rsid w:val="00D70F97"/>
    <w:rsid w:val="00D72D4B"/>
    <w:rsid w:val="00D73A0B"/>
    <w:rsid w:val="00D758E9"/>
    <w:rsid w:val="00D762A4"/>
    <w:rsid w:val="00D762ED"/>
    <w:rsid w:val="00D77E3B"/>
    <w:rsid w:val="00D800CA"/>
    <w:rsid w:val="00D80D20"/>
    <w:rsid w:val="00D81620"/>
    <w:rsid w:val="00D830A1"/>
    <w:rsid w:val="00D8340E"/>
    <w:rsid w:val="00D84752"/>
    <w:rsid w:val="00D84A5A"/>
    <w:rsid w:val="00D902CF"/>
    <w:rsid w:val="00D9040C"/>
    <w:rsid w:val="00D90D51"/>
    <w:rsid w:val="00D91806"/>
    <w:rsid w:val="00D91980"/>
    <w:rsid w:val="00D92E99"/>
    <w:rsid w:val="00D948E5"/>
    <w:rsid w:val="00D959CF"/>
    <w:rsid w:val="00D95D51"/>
    <w:rsid w:val="00D97CB7"/>
    <w:rsid w:val="00DA0812"/>
    <w:rsid w:val="00DA328F"/>
    <w:rsid w:val="00DA449E"/>
    <w:rsid w:val="00DA4A4F"/>
    <w:rsid w:val="00DA5983"/>
    <w:rsid w:val="00DA6556"/>
    <w:rsid w:val="00DA680B"/>
    <w:rsid w:val="00DB1A8A"/>
    <w:rsid w:val="00DB37DC"/>
    <w:rsid w:val="00DB59D0"/>
    <w:rsid w:val="00DB7A14"/>
    <w:rsid w:val="00DB7ADD"/>
    <w:rsid w:val="00DC072B"/>
    <w:rsid w:val="00DC1D6A"/>
    <w:rsid w:val="00DC253B"/>
    <w:rsid w:val="00DC4F8B"/>
    <w:rsid w:val="00DC686D"/>
    <w:rsid w:val="00DC7659"/>
    <w:rsid w:val="00DC7C5F"/>
    <w:rsid w:val="00DD031B"/>
    <w:rsid w:val="00DD0380"/>
    <w:rsid w:val="00DD178F"/>
    <w:rsid w:val="00DD1ED5"/>
    <w:rsid w:val="00DD34A2"/>
    <w:rsid w:val="00DD3637"/>
    <w:rsid w:val="00DD3CDA"/>
    <w:rsid w:val="00DD535A"/>
    <w:rsid w:val="00DD67A7"/>
    <w:rsid w:val="00DD6D38"/>
    <w:rsid w:val="00DD6E3C"/>
    <w:rsid w:val="00DE19B8"/>
    <w:rsid w:val="00DE481C"/>
    <w:rsid w:val="00DE4C3C"/>
    <w:rsid w:val="00DE4CF6"/>
    <w:rsid w:val="00DE5AA5"/>
    <w:rsid w:val="00DE688E"/>
    <w:rsid w:val="00DE6A86"/>
    <w:rsid w:val="00DE78D2"/>
    <w:rsid w:val="00DF0F61"/>
    <w:rsid w:val="00DF1A76"/>
    <w:rsid w:val="00DF3479"/>
    <w:rsid w:val="00DF4358"/>
    <w:rsid w:val="00DF4E1A"/>
    <w:rsid w:val="00DF53C7"/>
    <w:rsid w:val="00DF53EA"/>
    <w:rsid w:val="00E000D7"/>
    <w:rsid w:val="00E04C64"/>
    <w:rsid w:val="00E04D56"/>
    <w:rsid w:val="00E060BD"/>
    <w:rsid w:val="00E06C02"/>
    <w:rsid w:val="00E07352"/>
    <w:rsid w:val="00E10365"/>
    <w:rsid w:val="00E14B85"/>
    <w:rsid w:val="00E1586A"/>
    <w:rsid w:val="00E159F0"/>
    <w:rsid w:val="00E15E84"/>
    <w:rsid w:val="00E16351"/>
    <w:rsid w:val="00E21ABC"/>
    <w:rsid w:val="00E21F40"/>
    <w:rsid w:val="00E22186"/>
    <w:rsid w:val="00E246A0"/>
    <w:rsid w:val="00E24CB6"/>
    <w:rsid w:val="00E2735F"/>
    <w:rsid w:val="00E30181"/>
    <w:rsid w:val="00E306C5"/>
    <w:rsid w:val="00E32D1C"/>
    <w:rsid w:val="00E3345C"/>
    <w:rsid w:val="00E335F6"/>
    <w:rsid w:val="00E33F8A"/>
    <w:rsid w:val="00E37512"/>
    <w:rsid w:val="00E37693"/>
    <w:rsid w:val="00E377EA"/>
    <w:rsid w:val="00E408CC"/>
    <w:rsid w:val="00E41463"/>
    <w:rsid w:val="00E42826"/>
    <w:rsid w:val="00E4564A"/>
    <w:rsid w:val="00E46487"/>
    <w:rsid w:val="00E47285"/>
    <w:rsid w:val="00E47771"/>
    <w:rsid w:val="00E51A68"/>
    <w:rsid w:val="00E52DE6"/>
    <w:rsid w:val="00E52FC4"/>
    <w:rsid w:val="00E55A8D"/>
    <w:rsid w:val="00E57758"/>
    <w:rsid w:val="00E6097D"/>
    <w:rsid w:val="00E6239F"/>
    <w:rsid w:val="00E6393B"/>
    <w:rsid w:val="00E64131"/>
    <w:rsid w:val="00E648EF"/>
    <w:rsid w:val="00E6572E"/>
    <w:rsid w:val="00E65AA3"/>
    <w:rsid w:val="00E6755C"/>
    <w:rsid w:val="00E7257B"/>
    <w:rsid w:val="00E72FAF"/>
    <w:rsid w:val="00E74001"/>
    <w:rsid w:val="00E74676"/>
    <w:rsid w:val="00E75C4C"/>
    <w:rsid w:val="00E801F3"/>
    <w:rsid w:val="00E80666"/>
    <w:rsid w:val="00E8070D"/>
    <w:rsid w:val="00E830EC"/>
    <w:rsid w:val="00E832D8"/>
    <w:rsid w:val="00E8348D"/>
    <w:rsid w:val="00E83955"/>
    <w:rsid w:val="00E83A56"/>
    <w:rsid w:val="00E84E4C"/>
    <w:rsid w:val="00E8500D"/>
    <w:rsid w:val="00E85494"/>
    <w:rsid w:val="00E86F2F"/>
    <w:rsid w:val="00E8705D"/>
    <w:rsid w:val="00E90FEF"/>
    <w:rsid w:val="00E9105E"/>
    <w:rsid w:val="00E91DC7"/>
    <w:rsid w:val="00E9314B"/>
    <w:rsid w:val="00E95131"/>
    <w:rsid w:val="00E960B9"/>
    <w:rsid w:val="00E969F7"/>
    <w:rsid w:val="00E97A33"/>
    <w:rsid w:val="00EA0544"/>
    <w:rsid w:val="00EA140D"/>
    <w:rsid w:val="00EA1FC0"/>
    <w:rsid w:val="00EA6C98"/>
    <w:rsid w:val="00EA6D69"/>
    <w:rsid w:val="00EA7143"/>
    <w:rsid w:val="00EA7F03"/>
    <w:rsid w:val="00EB0EE0"/>
    <w:rsid w:val="00EB1062"/>
    <w:rsid w:val="00EB1AC9"/>
    <w:rsid w:val="00EB2342"/>
    <w:rsid w:val="00EB26F0"/>
    <w:rsid w:val="00EB2BD0"/>
    <w:rsid w:val="00EB2FAF"/>
    <w:rsid w:val="00EB6F83"/>
    <w:rsid w:val="00EB7127"/>
    <w:rsid w:val="00EC068F"/>
    <w:rsid w:val="00EC0972"/>
    <w:rsid w:val="00EC140B"/>
    <w:rsid w:val="00EC44FB"/>
    <w:rsid w:val="00EC53F2"/>
    <w:rsid w:val="00EC6CA0"/>
    <w:rsid w:val="00EC6E8B"/>
    <w:rsid w:val="00ED0AF3"/>
    <w:rsid w:val="00ED0F36"/>
    <w:rsid w:val="00ED182A"/>
    <w:rsid w:val="00ED2323"/>
    <w:rsid w:val="00ED4080"/>
    <w:rsid w:val="00ED40D6"/>
    <w:rsid w:val="00ED4275"/>
    <w:rsid w:val="00ED4306"/>
    <w:rsid w:val="00ED43B5"/>
    <w:rsid w:val="00ED448F"/>
    <w:rsid w:val="00ED4745"/>
    <w:rsid w:val="00ED5533"/>
    <w:rsid w:val="00ED6597"/>
    <w:rsid w:val="00ED7D7E"/>
    <w:rsid w:val="00EE067B"/>
    <w:rsid w:val="00EE0C2F"/>
    <w:rsid w:val="00EE1BF7"/>
    <w:rsid w:val="00EE200B"/>
    <w:rsid w:val="00EE24DA"/>
    <w:rsid w:val="00EE3A5C"/>
    <w:rsid w:val="00EE4B94"/>
    <w:rsid w:val="00EE5689"/>
    <w:rsid w:val="00EE7BF6"/>
    <w:rsid w:val="00EF0311"/>
    <w:rsid w:val="00EF1968"/>
    <w:rsid w:val="00EF227E"/>
    <w:rsid w:val="00EF240C"/>
    <w:rsid w:val="00EF2532"/>
    <w:rsid w:val="00EF2E18"/>
    <w:rsid w:val="00EF2FEB"/>
    <w:rsid w:val="00EF38B9"/>
    <w:rsid w:val="00EF473B"/>
    <w:rsid w:val="00EF4B29"/>
    <w:rsid w:val="00EF530A"/>
    <w:rsid w:val="00EF6843"/>
    <w:rsid w:val="00EF71C6"/>
    <w:rsid w:val="00EF79FC"/>
    <w:rsid w:val="00F00840"/>
    <w:rsid w:val="00F025EB"/>
    <w:rsid w:val="00F02E2D"/>
    <w:rsid w:val="00F034D5"/>
    <w:rsid w:val="00F03F26"/>
    <w:rsid w:val="00F0423B"/>
    <w:rsid w:val="00F07D3C"/>
    <w:rsid w:val="00F07DD0"/>
    <w:rsid w:val="00F07DD5"/>
    <w:rsid w:val="00F10368"/>
    <w:rsid w:val="00F10C9E"/>
    <w:rsid w:val="00F10D63"/>
    <w:rsid w:val="00F118EF"/>
    <w:rsid w:val="00F13025"/>
    <w:rsid w:val="00F1356E"/>
    <w:rsid w:val="00F15515"/>
    <w:rsid w:val="00F15693"/>
    <w:rsid w:val="00F16B58"/>
    <w:rsid w:val="00F2103B"/>
    <w:rsid w:val="00F22708"/>
    <w:rsid w:val="00F230D9"/>
    <w:rsid w:val="00F24639"/>
    <w:rsid w:val="00F26A74"/>
    <w:rsid w:val="00F26DB7"/>
    <w:rsid w:val="00F31863"/>
    <w:rsid w:val="00F31E13"/>
    <w:rsid w:val="00F33145"/>
    <w:rsid w:val="00F33CAF"/>
    <w:rsid w:val="00F35EF7"/>
    <w:rsid w:val="00F35F57"/>
    <w:rsid w:val="00F40A80"/>
    <w:rsid w:val="00F42100"/>
    <w:rsid w:val="00F42449"/>
    <w:rsid w:val="00F45003"/>
    <w:rsid w:val="00F5160C"/>
    <w:rsid w:val="00F51A5C"/>
    <w:rsid w:val="00F528B5"/>
    <w:rsid w:val="00F5481A"/>
    <w:rsid w:val="00F54823"/>
    <w:rsid w:val="00F54913"/>
    <w:rsid w:val="00F554F4"/>
    <w:rsid w:val="00F56055"/>
    <w:rsid w:val="00F568A1"/>
    <w:rsid w:val="00F56DA1"/>
    <w:rsid w:val="00F57516"/>
    <w:rsid w:val="00F61C85"/>
    <w:rsid w:val="00F62699"/>
    <w:rsid w:val="00F63FD6"/>
    <w:rsid w:val="00F64494"/>
    <w:rsid w:val="00F659B7"/>
    <w:rsid w:val="00F67E41"/>
    <w:rsid w:val="00F67EBD"/>
    <w:rsid w:val="00F70D23"/>
    <w:rsid w:val="00F70EA7"/>
    <w:rsid w:val="00F70F53"/>
    <w:rsid w:val="00F71F04"/>
    <w:rsid w:val="00F72110"/>
    <w:rsid w:val="00F72244"/>
    <w:rsid w:val="00F723CD"/>
    <w:rsid w:val="00F72986"/>
    <w:rsid w:val="00F74DF7"/>
    <w:rsid w:val="00F75BD3"/>
    <w:rsid w:val="00F76371"/>
    <w:rsid w:val="00F80060"/>
    <w:rsid w:val="00F800E1"/>
    <w:rsid w:val="00F80F3E"/>
    <w:rsid w:val="00F83332"/>
    <w:rsid w:val="00F83DAA"/>
    <w:rsid w:val="00F856C4"/>
    <w:rsid w:val="00F8716F"/>
    <w:rsid w:val="00F873EF"/>
    <w:rsid w:val="00F906E1"/>
    <w:rsid w:val="00F91D0A"/>
    <w:rsid w:val="00F92021"/>
    <w:rsid w:val="00F92616"/>
    <w:rsid w:val="00F92814"/>
    <w:rsid w:val="00F93124"/>
    <w:rsid w:val="00F93A96"/>
    <w:rsid w:val="00F94AA3"/>
    <w:rsid w:val="00F952F8"/>
    <w:rsid w:val="00F957C3"/>
    <w:rsid w:val="00F95BC5"/>
    <w:rsid w:val="00F97BD0"/>
    <w:rsid w:val="00FA06F3"/>
    <w:rsid w:val="00FA0A4E"/>
    <w:rsid w:val="00FA1312"/>
    <w:rsid w:val="00FA2A46"/>
    <w:rsid w:val="00FA4F28"/>
    <w:rsid w:val="00FA60D2"/>
    <w:rsid w:val="00FA6428"/>
    <w:rsid w:val="00FA6974"/>
    <w:rsid w:val="00FA78D8"/>
    <w:rsid w:val="00FA79E5"/>
    <w:rsid w:val="00FA7D26"/>
    <w:rsid w:val="00FB1190"/>
    <w:rsid w:val="00FB12C8"/>
    <w:rsid w:val="00FB1C48"/>
    <w:rsid w:val="00FB1E4F"/>
    <w:rsid w:val="00FB2436"/>
    <w:rsid w:val="00FB27DD"/>
    <w:rsid w:val="00FB335D"/>
    <w:rsid w:val="00FB33E1"/>
    <w:rsid w:val="00FB3456"/>
    <w:rsid w:val="00FB4354"/>
    <w:rsid w:val="00FB4565"/>
    <w:rsid w:val="00FB5192"/>
    <w:rsid w:val="00FB52C5"/>
    <w:rsid w:val="00FB6CBE"/>
    <w:rsid w:val="00FB7CE0"/>
    <w:rsid w:val="00FC029D"/>
    <w:rsid w:val="00FC3EBC"/>
    <w:rsid w:val="00FC3FB6"/>
    <w:rsid w:val="00FC467D"/>
    <w:rsid w:val="00FC49AE"/>
    <w:rsid w:val="00FC4D19"/>
    <w:rsid w:val="00FC4F62"/>
    <w:rsid w:val="00FD0357"/>
    <w:rsid w:val="00FD17E0"/>
    <w:rsid w:val="00FD32AD"/>
    <w:rsid w:val="00FD343E"/>
    <w:rsid w:val="00FD4A50"/>
    <w:rsid w:val="00FD524C"/>
    <w:rsid w:val="00FD69E8"/>
    <w:rsid w:val="00FE19D7"/>
    <w:rsid w:val="00FE26EC"/>
    <w:rsid w:val="00FE39B5"/>
    <w:rsid w:val="00FE68A4"/>
    <w:rsid w:val="00FF0820"/>
    <w:rsid w:val="00FF0908"/>
    <w:rsid w:val="00FF1185"/>
    <w:rsid w:val="00FF376D"/>
    <w:rsid w:val="00FF59A0"/>
    <w:rsid w:val="00FF6211"/>
    <w:rsid w:val="01A9298C"/>
    <w:rsid w:val="01F1268E"/>
    <w:rsid w:val="02152917"/>
    <w:rsid w:val="02742EFC"/>
    <w:rsid w:val="028042C4"/>
    <w:rsid w:val="028D4D9B"/>
    <w:rsid w:val="02D332E6"/>
    <w:rsid w:val="035B1CE5"/>
    <w:rsid w:val="03854B3A"/>
    <w:rsid w:val="04101BB7"/>
    <w:rsid w:val="04473845"/>
    <w:rsid w:val="045403C1"/>
    <w:rsid w:val="045E5F40"/>
    <w:rsid w:val="04D1089E"/>
    <w:rsid w:val="050B1CD4"/>
    <w:rsid w:val="05720F47"/>
    <w:rsid w:val="057A4C7B"/>
    <w:rsid w:val="05EA5EA2"/>
    <w:rsid w:val="064C2576"/>
    <w:rsid w:val="067D77AC"/>
    <w:rsid w:val="06F90AE7"/>
    <w:rsid w:val="07541337"/>
    <w:rsid w:val="07C36F54"/>
    <w:rsid w:val="08C14279"/>
    <w:rsid w:val="08E312CF"/>
    <w:rsid w:val="08F60DE6"/>
    <w:rsid w:val="09176551"/>
    <w:rsid w:val="091B51F4"/>
    <w:rsid w:val="093B1401"/>
    <w:rsid w:val="09516E1B"/>
    <w:rsid w:val="0961574F"/>
    <w:rsid w:val="096477B1"/>
    <w:rsid w:val="099A360C"/>
    <w:rsid w:val="09F73516"/>
    <w:rsid w:val="0A117414"/>
    <w:rsid w:val="0A2F247A"/>
    <w:rsid w:val="0A6F3EE9"/>
    <w:rsid w:val="0AEF0818"/>
    <w:rsid w:val="0B26707E"/>
    <w:rsid w:val="0B7A075E"/>
    <w:rsid w:val="0C5C2956"/>
    <w:rsid w:val="0C795822"/>
    <w:rsid w:val="0CA86EA2"/>
    <w:rsid w:val="0CBB595F"/>
    <w:rsid w:val="0CBD7CF1"/>
    <w:rsid w:val="0D046461"/>
    <w:rsid w:val="0D1B5BBD"/>
    <w:rsid w:val="0D656F20"/>
    <w:rsid w:val="0D6C68AD"/>
    <w:rsid w:val="0D9C570A"/>
    <w:rsid w:val="0D9F6EC3"/>
    <w:rsid w:val="0DF677B9"/>
    <w:rsid w:val="0E4A08BC"/>
    <w:rsid w:val="0E4B1FD4"/>
    <w:rsid w:val="0E8029E9"/>
    <w:rsid w:val="0F857FF2"/>
    <w:rsid w:val="0F9F68BB"/>
    <w:rsid w:val="0FE82942"/>
    <w:rsid w:val="10221EE0"/>
    <w:rsid w:val="10D61D5D"/>
    <w:rsid w:val="10EF540C"/>
    <w:rsid w:val="11023B11"/>
    <w:rsid w:val="11750FCE"/>
    <w:rsid w:val="117F087D"/>
    <w:rsid w:val="1188307C"/>
    <w:rsid w:val="118C15CB"/>
    <w:rsid w:val="11B7101A"/>
    <w:rsid w:val="121F1AEC"/>
    <w:rsid w:val="12423092"/>
    <w:rsid w:val="129D5576"/>
    <w:rsid w:val="12EE6A82"/>
    <w:rsid w:val="13446BA1"/>
    <w:rsid w:val="139311B9"/>
    <w:rsid w:val="13C91236"/>
    <w:rsid w:val="14407A24"/>
    <w:rsid w:val="1457788F"/>
    <w:rsid w:val="15067DE6"/>
    <w:rsid w:val="15507A0D"/>
    <w:rsid w:val="157B78DE"/>
    <w:rsid w:val="1594709F"/>
    <w:rsid w:val="16130806"/>
    <w:rsid w:val="16545407"/>
    <w:rsid w:val="16A02C0C"/>
    <w:rsid w:val="177E6371"/>
    <w:rsid w:val="179523B6"/>
    <w:rsid w:val="17B468C9"/>
    <w:rsid w:val="18427A2F"/>
    <w:rsid w:val="18A569D9"/>
    <w:rsid w:val="19131523"/>
    <w:rsid w:val="1932529B"/>
    <w:rsid w:val="19843FE1"/>
    <w:rsid w:val="19BD4767"/>
    <w:rsid w:val="19EE19D3"/>
    <w:rsid w:val="1A3B246E"/>
    <w:rsid w:val="1A5E03B7"/>
    <w:rsid w:val="1AB73C00"/>
    <w:rsid w:val="1AF71B85"/>
    <w:rsid w:val="1B8051D3"/>
    <w:rsid w:val="1B812E7F"/>
    <w:rsid w:val="1BCE21DA"/>
    <w:rsid w:val="1C6E346B"/>
    <w:rsid w:val="1C762014"/>
    <w:rsid w:val="1D1F48E9"/>
    <w:rsid w:val="1D20523A"/>
    <w:rsid w:val="1DA3702B"/>
    <w:rsid w:val="1DB64506"/>
    <w:rsid w:val="1E2527AC"/>
    <w:rsid w:val="1E7958F0"/>
    <w:rsid w:val="1EC208A6"/>
    <w:rsid w:val="1F091A51"/>
    <w:rsid w:val="1F104035"/>
    <w:rsid w:val="1F2C467B"/>
    <w:rsid w:val="1F2C66A0"/>
    <w:rsid w:val="1F3955A2"/>
    <w:rsid w:val="1F39747B"/>
    <w:rsid w:val="1F523C25"/>
    <w:rsid w:val="1F933A28"/>
    <w:rsid w:val="1FD01D46"/>
    <w:rsid w:val="1FE14C03"/>
    <w:rsid w:val="200803EE"/>
    <w:rsid w:val="202D6FD9"/>
    <w:rsid w:val="20D009E5"/>
    <w:rsid w:val="20D604CF"/>
    <w:rsid w:val="21764795"/>
    <w:rsid w:val="21BD3BC6"/>
    <w:rsid w:val="21E36440"/>
    <w:rsid w:val="21FC0B82"/>
    <w:rsid w:val="22B568E0"/>
    <w:rsid w:val="22D623FF"/>
    <w:rsid w:val="22E43D8D"/>
    <w:rsid w:val="239E04F4"/>
    <w:rsid w:val="23EC05FD"/>
    <w:rsid w:val="24145500"/>
    <w:rsid w:val="2453425F"/>
    <w:rsid w:val="255615F5"/>
    <w:rsid w:val="2582353C"/>
    <w:rsid w:val="25B7161A"/>
    <w:rsid w:val="25F04D82"/>
    <w:rsid w:val="26525C14"/>
    <w:rsid w:val="265F6F74"/>
    <w:rsid w:val="268A665F"/>
    <w:rsid w:val="26E94BFE"/>
    <w:rsid w:val="26F80720"/>
    <w:rsid w:val="271C3A8D"/>
    <w:rsid w:val="278B601D"/>
    <w:rsid w:val="27C571C0"/>
    <w:rsid w:val="27D01665"/>
    <w:rsid w:val="27EB4FAC"/>
    <w:rsid w:val="28033B5E"/>
    <w:rsid w:val="281C2EA7"/>
    <w:rsid w:val="283F2E38"/>
    <w:rsid w:val="28760EC1"/>
    <w:rsid w:val="28965108"/>
    <w:rsid w:val="28F224FC"/>
    <w:rsid w:val="29214018"/>
    <w:rsid w:val="297F777F"/>
    <w:rsid w:val="29A05A04"/>
    <w:rsid w:val="2A3222AB"/>
    <w:rsid w:val="2A7A2160"/>
    <w:rsid w:val="2B02223C"/>
    <w:rsid w:val="2B082C5B"/>
    <w:rsid w:val="2B730675"/>
    <w:rsid w:val="2C22032B"/>
    <w:rsid w:val="2D8C5315"/>
    <w:rsid w:val="2D95643B"/>
    <w:rsid w:val="2DD5680A"/>
    <w:rsid w:val="2DE106C9"/>
    <w:rsid w:val="2EAC6191"/>
    <w:rsid w:val="2EC4047B"/>
    <w:rsid w:val="2EFC28ED"/>
    <w:rsid w:val="2EFC79F2"/>
    <w:rsid w:val="2F841A5E"/>
    <w:rsid w:val="2FAD24A1"/>
    <w:rsid w:val="2FB21CDD"/>
    <w:rsid w:val="2FC93956"/>
    <w:rsid w:val="2FD66FEA"/>
    <w:rsid w:val="300E37F4"/>
    <w:rsid w:val="303568A2"/>
    <w:rsid w:val="308F3191"/>
    <w:rsid w:val="30E64311"/>
    <w:rsid w:val="30F911F5"/>
    <w:rsid w:val="314C23D2"/>
    <w:rsid w:val="31B71515"/>
    <w:rsid w:val="32002A73"/>
    <w:rsid w:val="322518D5"/>
    <w:rsid w:val="324A65A8"/>
    <w:rsid w:val="32BF53D9"/>
    <w:rsid w:val="332538EF"/>
    <w:rsid w:val="336D1887"/>
    <w:rsid w:val="339D46F8"/>
    <w:rsid w:val="33D32B48"/>
    <w:rsid w:val="3490195A"/>
    <w:rsid w:val="34C87539"/>
    <w:rsid w:val="34E11C63"/>
    <w:rsid w:val="35037002"/>
    <w:rsid w:val="35147A61"/>
    <w:rsid w:val="354F1987"/>
    <w:rsid w:val="35DA1FD3"/>
    <w:rsid w:val="35E24941"/>
    <w:rsid w:val="35F02B59"/>
    <w:rsid w:val="360F71D3"/>
    <w:rsid w:val="36400CEB"/>
    <w:rsid w:val="3640650F"/>
    <w:rsid w:val="36913B8F"/>
    <w:rsid w:val="36E47B81"/>
    <w:rsid w:val="37AD5028"/>
    <w:rsid w:val="37B23DC0"/>
    <w:rsid w:val="37CF5A51"/>
    <w:rsid w:val="37F81A2D"/>
    <w:rsid w:val="38274CF5"/>
    <w:rsid w:val="384E5709"/>
    <w:rsid w:val="385D3A32"/>
    <w:rsid w:val="389D1436"/>
    <w:rsid w:val="38C81AB7"/>
    <w:rsid w:val="38FD222D"/>
    <w:rsid w:val="390211C1"/>
    <w:rsid w:val="391F7478"/>
    <w:rsid w:val="39391D8C"/>
    <w:rsid w:val="39BC50E7"/>
    <w:rsid w:val="3A531190"/>
    <w:rsid w:val="3A6854CC"/>
    <w:rsid w:val="3A8B1BB1"/>
    <w:rsid w:val="3AEC4D47"/>
    <w:rsid w:val="3B297A4D"/>
    <w:rsid w:val="3BDB484F"/>
    <w:rsid w:val="3BF539A4"/>
    <w:rsid w:val="3C4537E2"/>
    <w:rsid w:val="3C5C570A"/>
    <w:rsid w:val="3C5E7084"/>
    <w:rsid w:val="3CD87E6D"/>
    <w:rsid w:val="3D122381"/>
    <w:rsid w:val="3D424900"/>
    <w:rsid w:val="3D91083B"/>
    <w:rsid w:val="3D913562"/>
    <w:rsid w:val="3D960010"/>
    <w:rsid w:val="3DBF6634"/>
    <w:rsid w:val="3DF57B79"/>
    <w:rsid w:val="3E244472"/>
    <w:rsid w:val="3E595E0B"/>
    <w:rsid w:val="3EAD352C"/>
    <w:rsid w:val="3EC62C18"/>
    <w:rsid w:val="3F0F6C24"/>
    <w:rsid w:val="3F195722"/>
    <w:rsid w:val="3F1C2D07"/>
    <w:rsid w:val="3F7E303A"/>
    <w:rsid w:val="3FC6067B"/>
    <w:rsid w:val="3FCC4E39"/>
    <w:rsid w:val="401E545D"/>
    <w:rsid w:val="40577F27"/>
    <w:rsid w:val="408625E5"/>
    <w:rsid w:val="40DD0AA9"/>
    <w:rsid w:val="412C5A7C"/>
    <w:rsid w:val="415709EC"/>
    <w:rsid w:val="419B6404"/>
    <w:rsid w:val="41F26E27"/>
    <w:rsid w:val="420B40E0"/>
    <w:rsid w:val="422155C4"/>
    <w:rsid w:val="42416F43"/>
    <w:rsid w:val="426508F2"/>
    <w:rsid w:val="42E27607"/>
    <w:rsid w:val="42EF56FC"/>
    <w:rsid w:val="433E4180"/>
    <w:rsid w:val="43844A8D"/>
    <w:rsid w:val="43DF5B69"/>
    <w:rsid w:val="43E97FDE"/>
    <w:rsid w:val="43FD560E"/>
    <w:rsid w:val="44121145"/>
    <w:rsid w:val="443B611F"/>
    <w:rsid w:val="4454377A"/>
    <w:rsid w:val="44761B1B"/>
    <w:rsid w:val="44825D66"/>
    <w:rsid w:val="44E6604F"/>
    <w:rsid w:val="45303FE5"/>
    <w:rsid w:val="45743BCA"/>
    <w:rsid w:val="45C14B6C"/>
    <w:rsid w:val="45D8518E"/>
    <w:rsid w:val="45EA7371"/>
    <w:rsid w:val="45FA0D0B"/>
    <w:rsid w:val="46842982"/>
    <w:rsid w:val="46B310A6"/>
    <w:rsid w:val="46F954C9"/>
    <w:rsid w:val="471F7129"/>
    <w:rsid w:val="47703CF4"/>
    <w:rsid w:val="477A4EA8"/>
    <w:rsid w:val="47AA6646"/>
    <w:rsid w:val="47BA5463"/>
    <w:rsid w:val="48056E5E"/>
    <w:rsid w:val="48084C71"/>
    <w:rsid w:val="485A2984"/>
    <w:rsid w:val="487235A7"/>
    <w:rsid w:val="489650B8"/>
    <w:rsid w:val="48A32A06"/>
    <w:rsid w:val="48D533DB"/>
    <w:rsid w:val="49051B21"/>
    <w:rsid w:val="491018AF"/>
    <w:rsid w:val="49323566"/>
    <w:rsid w:val="496122D3"/>
    <w:rsid w:val="496D2E4E"/>
    <w:rsid w:val="49AA023D"/>
    <w:rsid w:val="49C61CC3"/>
    <w:rsid w:val="49E24B15"/>
    <w:rsid w:val="4A1368BF"/>
    <w:rsid w:val="4A7F3599"/>
    <w:rsid w:val="4B2969B8"/>
    <w:rsid w:val="4B83098E"/>
    <w:rsid w:val="4B90143B"/>
    <w:rsid w:val="4C534154"/>
    <w:rsid w:val="4CDA552C"/>
    <w:rsid w:val="4CDE094D"/>
    <w:rsid w:val="4CFD4F7F"/>
    <w:rsid w:val="4CFE07AC"/>
    <w:rsid w:val="4D0C49B3"/>
    <w:rsid w:val="4D3F08E5"/>
    <w:rsid w:val="4D7B566F"/>
    <w:rsid w:val="4D8D2C98"/>
    <w:rsid w:val="4DC030AB"/>
    <w:rsid w:val="4DE70B18"/>
    <w:rsid w:val="4E22162D"/>
    <w:rsid w:val="4E9234C3"/>
    <w:rsid w:val="4F0E5CA5"/>
    <w:rsid w:val="4FDC79E2"/>
    <w:rsid w:val="504479E3"/>
    <w:rsid w:val="517D2033"/>
    <w:rsid w:val="51B003BE"/>
    <w:rsid w:val="51B4012F"/>
    <w:rsid w:val="521B540F"/>
    <w:rsid w:val="523E6BBC"/>
    <w:rsid w:val="528B5D4F"/>
    <w:rsid w:val="52E11E52"/>
    <w:rsid w:val="53390C3A"/>
    <w:rsid w:val="53B27BB7"/>
    <w:rsid w:val="53EE772D"/>
    <w:rsid w:val="542D135B"/>
    <w:rsid w:val="543C7C24"/>
    <w:rsid w:val="54D87473"/>
    <w:rsid w:val="54DF5727"/>
    <w:rsid w:val="5539547F"/>
    <w:rsid w:val="562025C2"/>
    <w:rsid w:val="562E4368"/>
    <w:rsid w:val="564B25B6"/>
    <w:rsid w:val="56824254"/>
    <w:rsid w:val="56902FD1"/>
    <w:rsid w:val="569D7705"/>
    <w:rsid w:val="569E238C"/>
    <w:rsid w:val="56A56F96"/>
    <w:rsid w:val="56B30171"/>
    <w:rsid w:val="57174680"/>
    <w:rsid w:val="571D5BC5"/>
    <w:rsid w:val="5750429E"/>
    <w:rsid w:val="57626E74"/>
    <w:rsid w:val="579A6A20"/>
    <w:rsid w:val="582878DF"/>
    <w:rsid w:val="5852431F"/>
    <w:rsid w:val="585D3E03"/>
    <w:rsid w:val="58BC1855"/>
    <w:rsid w:val="58F65638"/>
    <w:rsid w:val="59340387"/>
    <w:rsid w:val="593530F2"/>
    <w:rsid w:val="598903E7"/>
    <w:rsid w:val="598C212C"/>
    <w:rsid w:val="5A0544D6"/>
    <w:rsid w:val="5A216A20"/>
    <w:rsid w:val="5AA1318C"/>
    <w:rsid w:val="5AAF3F4B"/>
    <w:rsid w:val="5B5B394A"/>
    <w:rsid w:val="5C0623D8"/>
    <w:rsid w:val="5C3A4DBE"/>
    <w:rsid w:val="5C9C1F7A"/>
    <w:rsid w:val="5D651CDC"/>
    <w:rsid w:val="5DC5134D"/>
    <w:rsid w:val="5DC855E3"/>
    <w:rsid w:val="5DEB4609"/>
    <w:rsid w:val="5E1016DA"/>
    <w:rsid w:val="5E662C96"/>
    <w:rsid w:val="5E77523A"/>
    <w:rsid w:val="5E9D1993"/>
    <w:rsid w:val="5F2D0BA6"/>
    <w:rsid w:val="5F6C401A"/>
    <w:rsid w:val="5FA8056B"/>
    <w:rsid w:val="5FA86C07"/>
    <w:rsid w:val="5FD259F9"/>
    <w:rsid w:val="5FDD2B3A"/>
    <w:rsid w:val="5FEC1F0A"/>
    <w:rsid w:val="606A1F45"/>
    <w:rsid w:val="60E05F15"/>
    <w:rsid w:val="610E08A2"/>
    <w:rsid w:val="615C785F"/>
    <w:rsid w:val="618667F7"/>
    <w:rsid w:val="61974A55"/>
    <w:rsid w:val="61A62964"/>
    <w:rsid w:val="622E4597"/>
    <w:rsid w:val="62B25DC7"/>
    <w:rsid w:val="639F6592"/>
    <w:rsid w:val="63C401DD"/>
    <w:rsid w:val="63CF1338"/>
    <w:rsid w:val="646D3183"/>
    <w:rsid w:val="64726F43"/>
    <w:rsid w:val="64A227CA"/>
    <w:rsid w:val="64BC7BAE"/>
    <w:rsid w:val="64D3579B"/>
    <w:rsid w:val="64DD35B1"/>
    <w:rsid w:val="656A5114"/>
    <w:rsid w:val="65B11292"/>
    <w:rsid w:val="65BA75C8"/>
    <w:rsid w:val="65E51077"/>
    <w:rsid w:val="661A4B91"/>
    <w:rsid w:val="66BF4C99"/>
    <w:rsid w:val="670C65D6"/>
    <w:rsid w:val="67483640"/>
    <w:rsid w:val="677F1909"/>
    <w:rsid w:val="67A04E3D"/>
    <w:rsid w:val="67B17675"/>
    <w:rsid w:val="67B4673E"/>
    <w:rsid w:val="67EC3760"/>
    <w:rsid w:val="682C3AD4"/>
    <w:rsid w:val="68613679"/>
    <w:rsid w:val="68760E89"/>
    <w:rsid w:val="68BA153C"/>
    <w:rsid w:val="68F04364"/>
    <w:rsid w:val="68FB5CC4"/>
    <w:rsid w:val="6A0C5BB7"/>
    <w:rsid w:val="6A915DF3"/>
    <w:rsid w:val="6AF9199E"/>
    <w:rsid w:val="6B5C7C76"/>
    <w:rsid w:val="6B6A7665"/>
    <w:rsid w:val="6BA0144E"/>
    <w:rsid w:val="6C0B643D"/>
    <w:rsid w:val="6D2C0311"/>
    <w:rsid w:val="6D4D22D2"/>
    <w:rsid w:val="6DB1683D"/>
    <w:rsid w:val="6DBF45BF"/>
    <w:rsid w:val="6E1D536C"/>
    <w:rsid w:val="6E2B0B07"/>
    <w:rsid w:val="6E4542A4"/>
    <w:rsid w:val="70741870"/>
    <w:rsid w:val="70A47889"/>
    <w:rsid w:val="714A395B"/>
    <w:rsid w:val="71FA5E12"/>
    <w:rsid w:val="72513B7B"/>
    <w:rsid w:val="72677016"/>
    <w:rsid w:val="72D22688"/>
    <w:rsid w:val="72EF331E"/>
    <w:rsid w:val="733A434A"/>
    <w:rsid w:val="734F2F9E"/>
    <w:rsid w:val="73860E12"/>
    <w:rsid w:val="73F27EF4"/>
    <w:rsid w:val="744B4275"/>
    <w:rsid w:val="749271F3"/>
    <w:rsid w:val="74C8055A"/>
    <w:rsid w:val="75D64A4F"/>
    <w:rsid w:val="76227727"/>
    <w:rsid w:val="762B2267"/>
    <w:rsid w:val="76B01217"/>
    <w:rsid w:val="76F82B81"/>
    <w:rsid w:val="770725FA"/>
    <w:rsid w:val="77A21895"/>
    <w:rsid w:val="77CC50DF"/>
    <w:rsid w:val="785A709F"/>
    <w:rsid w:val="786171CD"/>
    <w:rsid w:val="78B4367F"/>
    <w:rsid w:val="7919746E"/>
    <w:rsid w:val="795E31C8"/>
    <w:rsid w:val="79853FBD"/>
    <w:rsid w:val="7A532160"/>
    <w:rsid w:val="7A96669D"/>
    <w:rsid w:val="7AB44136"/>
    <w:rsid w:val="7AC0620F"/>
    <w:rsid w:val="7B453A59"/>
    <w:rsid w:val="7B5C5D8A"/>
    <w:rsid w:val="7B881AD9"/>
    <w:rsid w:val="7BCD7445"/>
    <w:rsid w:val="7C580C2D"/>
    <w:rsid w:val="7C6F7552"/>
    <w:rsid w:val="7C780AA3"/>
    <w:rsid w:val="7C9A7858"/>
    <w:rsid w:val="7C9D34C4"/>
    <w:rsid w:val="7CD335AB"/>
    <w:rsid w:val="7D7B648E"/>
    <w:rsid w:val="7EA65570"/>
    <w:rsid w:val="7F360DB0"/>
    <w:rsid w:val="7FB46BB3"/>
    <w:rsid w:val="7FDA73B3"/>
    <w:rsid w:val="7FEA7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qFormat="1" w:unhideWhenUsed="0" w:uiPriority="0" w:semiHidden="0" w:name="table of figures"/>
    <w:lsdException w:uiPriority="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qFormat="1" w:unhideWhenUsed="0" w:uiPriority="99"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5"/>
    <w:autoRedefine/>
    <w:qFormat/>
    <w:uiPriority w:val="0"/>
    <w:pPr>
      <w:keepNext/>
      <w:keepLines/>
      <w:spacing w:before="340" w:after="330" w:line="360" w:lineRule="auto"/>
      <w:jc w:val="center"/>
      <w:outlineLvl w:val="0"/>
    </w:pPr>
    <w:rPr>
      <w:b/>
      <w:bCs/>
      <w:kern w:val="44"/>
      <w:sz w:val="24"/>
      <w:szCs w:val="44"/>
    </w:rPr>
  </w:style>
  <w:style w:type="paragraph" w:styleId="3">
    <w:name w:val="heading 2"/>
    <w:basedOn w:val="1"/>
    <w:next w:val="4"/>
    <w:autoRedefine/>
    <w:qFormat/>
    <w:uiPriority w:val="0"/>
    <w:pPr>
      <w:keepNext/>
      <w:keepLines/>
      <w:spacing w:before="260" w:after="260"/>
      <w:jc w:val="left"/>
      <w:outlineLvl w:val="1"/>
    </w:pPr>
    <w:rPr>
      <w:rFonts w:ascii="Arial" w:hAnsi="Arial"/>
      <w:b/>
      <w:bCs/>
      <w:sz w:val="24"/>
      <w:szCs w:val="32"/>
    </w:rPr>
  </w:style>
  <w:style w:type="paragraph" w:styleId="5">
    <w:name w:val="heading 3"/>
    <w:basedOn w:val="1"/>
    <w:next w:val="1"/>
    <w:autoRedefine/>
    <w:qFormat/>
    <w:uiPriority w:val="0"/>
    <w:pPr>
      <w:keepNext/>
      <w:keepLines/>
      <w:spacing w:before="260" w:after="260" w:line="413" w:lineRule="auto"/>
      <w:outlineLvl w:val="2"/>
    </w:pPr>
    <w:rPr>
      <w:b/>
      <w:bCs/>
      <w:sz w:val="32"/>
      <w:szCs w:val="32"/>
    </w:rPr>
  </w:style>
  <w:style w:type="paragraph" w:styleId="6">
    <w:name w:val="heading 4"/>
    <w:basedOn w:val="1"/>
    <w:next w:val="1"/>
    <w:link w:val="83"/>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35"/>
    <w:autoRedefine/>
    <w:qFormat/>
    <w:uiPriority w:val="0"/>
    <w:pPr>
      <w:keepNext/>
      <w:keepLines/>
      <w:spacing w:before="280" w:after="290" w:line="376" w:lineRule="auto"/>
      <w:outlineLvl w:val="4"/>
    </w:pPr>
    <w:rPr>
      <w:rFonts w:ascii="Calibri" w:hAnsi="Calibri"/>
      <w:b/>
      <w:bCs/>
      <w:sz w:val="28"/>
      <w:szCs w:val="28"/>
    </w:rPr>
  </w:style>
  <w:style w:type="paragraph" w:styleId="8">
    <w:name w:val="heading 6"/>
    <w:basedOn w:val="1"/>
    <w:next w:val="1"/>
    <w:link w:val="107"/>
    <w:autoRedefine/>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9">
    <w:name w:val="heading 7"/>
    <w:basedOn w:val="1"/>
    <w:next w:val="1"/>
    <w:link w:val="144"/>
    <w:autoRedefine/>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10">
    <w:name w:val="heading 8"/>
    <w:basedOn w:val="1"/>
    <w:next w:val="1"/>
    <w:link w:val="89"/>
    <w:autoRedefine/>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1">
    <w:name w:val="heading 9"/>
    <w:basedOn w:val="1"/>
    <w:next w:val="1"/>
    <w:link w:val="164"/>
    <w:autoRedefine/>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53">
    <w:name w:val="Default Paragraph Font"/>
    <w:autoRedefine/>
    <w:semiHidden/>
    <w:unhideWhenUsed/>
    <w:qFormat/>
    <w:uiPriority w:val="1"/>
  </w:style>
  <w:style w:type="table" w:default="1" w:styleId="5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style>
  <w:style w:type="paragraph" w:styleId="12">
    <w:name w:val="toc 7"/>
    <w:basedOn w:val="1"/>
    <w:next w:val="1"/>
    <w:autoRedefine/>
    <w:qFormat/>
    <w:uiPriority w:val="0"/>
    <w:pPr>
      <w:ind w:left="1260"/>
      <w:jc w:val="left"/>
    </w:pPr>
    <w:rPr>
      <w:sz w:val="18"/>
      <w:szCs w:val="18"/>
    </w:rPr>
  </w:style>
  <w:style w:type="paragraph" w:styleId="13">
    <w:name w:val="Note Heading"/>
    <w:basedOn w:val="1"/>
    <w:next w:val="1"/>
    <w:autoRedefine/>
    <w:qFormat/>
    <w:uiPriority w:val="99"/>
    <w:pPr>
      <w:jc w:val="center"/>
    </w:pPr>
    <w:rPr>
      <w:szCs w:val="20"/>
    </w:rPr>
  </w:style>
  <w:style w:type="paragraph" w:styleId="14">
    <w:name w:val="Document Map"/>
    <w:basedOn w:val="1"/>
    <w:link w:val="173"/>
    <w:autoRedefine/>
    <w:qFormat/>
    <w:uiPriority w:val="0"/>
    <w:pPr>
      <w:shd w:val="clear" w:color="auto" w:fill="000080"/>
    </w:pPr>
  </w:style>
  <w:style w:type="paragraph" w:styleId="15">
    <w:name w:val="annotation text"/>
    <w:basedOn w:val="1"/>
    <w:link w:val="147"/>
    <w:autoRedefine/>
    <w:qFormat/>
    <w:uiPriority w:val="0"/>
    <w:pPr>
      <w:jc w:val="left"/>
    </w:pPr>
  </w:style>
  <w:style w:type="paragraph" w:styleId="16">
    <w:name w:val="Body Text 3"/>
    <w:basedOn w:val="1"/>
    <w:link w:val="129"/>
    <w:autoRedefine/>
    <w:qFormat/>
    <w:uiPriority w:val="0"/>
    <w:rPr>
      <w:rFonts w:ascii="宋体"/>
      <w:sz w:val="24"/>
      <w:szCs w:val="20"/>
    </w:rPr>
  </w:style>
  <w:style w:type="paragraph" w:styleId="17">
    <w:name w:val="Body Text"/>
    <w:basedOn w:val="1"/>
    <w:next w:val="1"/>
    <w:link w:val="132"/>
    <w:autoRedefine/>
    <w:qFormat/>
    <w:uiPriority w:val="0"/>
    <w:pPr>
      <w:jc w:val="center"/>
    </w:pPr>
    <w:rPr>
      <w:b/>
      <w:bCs/>
      <w:sz w:val="44"/>
      <w:szCs w:val="20"/>
    </w:rPr>
  </w:style>
  <w:style w:type="paragraph" w:styleId="18">
    <w:name w:val="Body Text Indent"/>
    <w:basedOn w:val="1"/>
    <w:next w:val="19"/>
    <w:link w:val="114"/>
    <w:autoRedefine/>
    <w:qFormat/>
    <w:uiPriority w:val="0"/>
    <w:pPr>
      <w:spacing w:line="500" w:lineRule="exact"/>
      <w:ind w:firstLine="538"/>
    </w:pPr>
    <w:rPr>
      <w:sz w:val="28"/>
    </w:rPr>
  </w:style>
  <w:style w:type="paragraph" w:styleId="19">
    <w:name w:val="envelope return"/>
    <w:basedOn w:val="1"/>
    <w:autoRedefine/>
    <w:qFormat/>
    <w:uiPriority w:val="0"/>
    <w:pPr>
      <w:snapToGrid w:val="0"/>
    </w:pPr>
    <w:rPr>
      <w:rFonts w:ascii="Arial" w:hAnsi="Arial"/>
    </w:rPr>
  </w:style>
  <w:style w:type="paragraph" w:styleId="20">
    <w:name w:val="List Continue"/>
    <w:basedOn w:val="1"/>
    <w:autoRedefine/>
    <w:qFormat/>
    <w:uiPriority w:val="0"/>
    <w:pPr>
      <w:spacing w:after="120"/>
      <w:ind w:left="420"/>
    </w:pPr>
  </w:style>
  <w:style w:type="paragraph" w:styleId="21">
    <w:name w:val="Block Text"/>
    <w:basedOn w:val="1"/>
    <w:autoRedefine/>
    <w:qFormat/>
    <w:uiPriority w:val="0"/>
    <w:pPr>
      <w:spacing w:line="400" w:lineRule="exact"/>
      <w:ind w:left="-359" w:leftChars="-171" w:right="31" w:rightChars="15" w:firstLine="980" w:firstLineChars="350"/>
    </w:pPr>
    <w:rPr>
      <w:rFonts w:ascii="宋体" w:hAnsi="宋体"/>
      <w:sz w:val="28"/>
      <w:szCs w:val="32"/>
    </w:rPr>
  </w:style>
  <w:style w:type="paragraph" w:styleId="22">
    <w:name w:val="toc 5"/>
    <w:basedOn w:val="1"/>
    <w:next w:val="1"/>
    <w:autoRedefine/>
    <w:qFormat/>
    <w:uiPriority w:val="0"/>
    <w:pPr>
      <w:ind w:left="840"/>
      <w:jc w:val="left"/>
    </w:pPr>
    <w:rPr>
      <w:sz w:val="18"/>
      <w:szCs w:val="18"/>
    </w:rPr>
  </w:style>
  <w:style w:type="paragraph" w:styleId="23">
    <w:name w:val="toc 3"/>
    <w:basedOn w:val="1"/>
    <w:next w:val="1"/>
    <w:autoRedefine/>
    <w:qFormat/>
    <w:uiPriority w:val="0"/>
    <w:pPr>
      <w:ind w:left="420"/>
      <w:jc w:val="left"/>
    </w:pPr>
    <w:rPr>
      <w:i/>
      <w:iCs/>
      <w:sz w:val="20"/>
      <w:szCs w:val="20"/>
    </w:rPr>
  </w:style>
  <w:style w:type="paragraph" w:styleId="24">
    <w:name w:val="Plain Text"/>
    <w:basedOn w:val="1"/>
    <w:link w:val="126"/>
    <w:autoRedefine/>
    <w:qFormat/>
    <w:uiPriority w:val="0"/>
    <w:rPr>
      <w:rFonts w:ascii="Courier New" w:hAnsi="Courier New"/>
      <w:szCs w:val="20"/>
    </w:rPr>
  </w:style>
  <w:style w:type="paragraph" w:styleId="25">
    <w:name w:val="toc 8"/>
    <w:basedOn w:val="1"/>
    <w:next w:val="1"/>
    <w:autoRedefine/>
    <w:qFormat/>
    <w:uiPriority w:val="0"/>
    <w:pPr>
      <w:ind w:left="1470"/>
      <w:jc w:val="left"/>
    </w:pPr>
    <w:rPr>
      <w:sz w:val="18"/>
      <w:szCs w:val="18"/>
    </w:rPr>
  </w:style>
  <w:style w:type="paragraph" w:styleId="26">
    <w:name w:val="Date"/>
    <w:basedOn w:val="1"/>
    <w:next w:val="1"/>
    <w:link w:val="168"/>
    <w:autoRedefine/>
    <w:qFormat/>
    <w:uiPriority w:val="0"/>
    <w:rPr>
      <w:rFonts w:ascii="仿宋_GB2312" w:eastAsia="仿宋_GB2312"/>
      <w:sz w:val="30"/>
    </w:rPr>
  </w:style>
  <w:style w:type="paragraph" w:styleId="27">
    <w:name w:val="Body Text Indent 2"/>
    <w:basedOn w:val="1"/>
    <w:autoRedefine/>
    <w:qFormat/>
    <w:uiPriority w:val="0"/>
    <w:pPr>
      <w:spacing w:line="360" w:lineRule="exact"/>
      <w:ind w:firstLine="600" w:firstLineChars="250"/>
      <w:jc w:val="left"/>
    </w:pPr>
    <w:rPr>
      <w:sz w:val="24"/>
    </w:rPr>
  </w:style>
  <w:style w:type="paragraph" w:styleId="28">
    <w:name w:val="Balloon Text"/>
    <w:basedOn w:val="1"/>
    <w:link w:val="119"/>
    <w:autoRedefine/>
    <w:qFormat/>
    <w:uiPriority w:val="0"/>
    <w:rPr>
      <w:sz w:val="18"/>
      <w:szCs w:val="18"/>
    </w:rPr>
  </w:style>
  <w:style w:type="paragraph" w:styleId="29">
    <w:name w:val="footer"/>
    <w:basedOn w:val="1"/>
    <w:link w:val="70"/>
    <w:autoRedefine/>
    <w:qFormat/>
    <w:uiPriority w:val="0"/>
    <w:pPr>
      <w:tabs>
        <w:tab w:val="center" w:pos="4153"/>
        <w:tab w:val="right" w:pos="8306"/>
      </w:tabs>
      <w:snapToGrid w:val="0"/>
      <w:jc w:val="left"/>
    </w:pPr>
    <w:rPr>
      <w:sz w:val="18"/>
      <w:szCs w:val="18"/>
    </w:rPr>
  </w:style>
  <w:style w:type="paragraph" w:styleId="30">
    <w:name w:val="header"/>
    <w:basedOn w:val="1"/>
    <w:link w:val="184"/>
    <w:autoRedefine/>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0"/>
    <w:pPr>
      <w:spacing w:before="120" w:after="120"/>
      <w:jc w:val="left"/>
    </w:pPr>
    <w:rPr>
      <w:b/>
      <w:bCs/>
      <w:caps/>
      <w:sz w:val="20"/>
      <w:szCs w:val="20"/>
    </w:rPr>
  </w:style>
  <w:style w:type="paragraph" w:styleId="32">
    <w:name w:val="toc 4"/>
    <w:basedOn w:val="1"/>
    <w:next w:val="1"/>
    <w:autoRedefine/>
    <w:qFormat/>
    <w:uiPriority w:val="0"/>
    <w:pPr>
      <w:ind w:left="630"/>
      <w:jc w:val="left"/>
    </w:pPr>
    <w:rPr>
      <w:sz w:val="18"/>
      <w:szCs w:val="18"/>
    </w:rPr>
  </w:style>
  <w:style w:type="paragraph" w:styleId="33">
    <w:name w:val="List"/>
    <w:basedOn w:val="1"/>
    <w:autoRedefine/>
    <w:qFormat/>
    <w:uiPriority w:val="0"/>
    <w:pPr>
      <w:ind w:left="420" w:hanging="420"/>
    </w:pPr>
    <w:rPr>
      <w:rFonts w:ascii="Arial" w:hAnsi="Arial" w:eastAsia="楷体_GB2312"/>
      <w:sz w:val="28"/>
      <w:szCs w:val="20"/>
    </w:rPr>
  </w:style>
  <w:style w:type="paragraph" w:styleId="34">
    <w:name w:val="footnote text"/>
    <w:basedOn w:val="1"/>
    <w:link w:val="125"/>
    <w:autoRedefine/>
    <w:qFormat/>
    <w:uiPriority w:val="0"/>
    <w:rPr>
      <w:sz w:val="20"/>
      <w:szCs w:val="20"/>
    </w:rPr>
  </w:style>
  <w:style w:type="paragraph" w:styleId="35">
    <w:name w:val="toc 6"/>
    <w:basedOn w:val="1"/>
    <w:next w:val="36"/>
    <w:autoRedefine/>
    <w:qFormat/>
    <w:uiPriority w:val="0"/>
    <w:pPr>
      <w:ind w:left="1050"/>
      <w:jc w:val="left"/>
    </w:pPr>
    <w:rPr>
      <w:sz w:val="18"/>
      <w:szCs w:val="18"/>
    </w:rPr>
  </w:style>
  <w:style w:type="paragraph" w:customStyle="1" w:styleId="36">
    <w:name w:val="xl76"/>
    <w:basedOn w:val="1"/>
    <w:next w:val="37"/>
    <w:autoRedefine/>
    <w:qFormat/>
    <w:uiPriority w:val="0"/>
    <w:pPr>
      <w:widowControl/>
    </w:pPr>
    <w:rPr>
      <w:rFonts w:ascii="Arial Unicode MS" w:eastAsia="Arial Unicode MS"/>
      <w:b/>
      <w:sz w:val="18"/>
    </w:rPr>
  </w:style>
  <w:style w:type="paragraph" w:customStyle="1" w:styleId="37">
    <w:name w:val="xl56"/>
    <w:basedOn w:val="1"/>
    <w:next w:val="38"/>
    <w:autoRedefine/>
    <w:qFormat/>
    <w:uiPriority w:val="0"/>
    <w:pPr>
      <w:widowControl/>
      <w:jc w:val="center"/>
    </w:pPr>
    <w:rPr>
      <w:rFonts w:ascii="Arial Unicode MS" w:eastAsia="Arial Unicode MS"/>
      <w:sz w:val="18"/>
    </w:rPr>
  </w:style>
  <w:style w:type="paragraph" w:customStyle="1" w:styleId="38">
    <w:name w:val="xl32"/>
    <w:basedOn w:val="1"/>
    <w:next w:val="1"/>
    <w:autoRedefine/>
    <w:qFormat/>
    <w:uiPriority w:val="0"/>
    <w:pPr>
      <w:widowControl/>
      <w:jc w:val="right"/>
    </w:pPr>
    <w:rPr>
      <w:rFonts w:ascii="Arial Unicode MS" w:eastAsia="Arial Unicode MS"/>
      <w:sz w:val="18"/>
    </w:rPr>
  </w:style>
  <w:style w:type="paragraph" w:styleId="39">
    <w:name w:val="Body Text Indent 3"/>
    <w:basedOn w:val="1"/>
    <w:link w:val="71"/>
    <w:autoRedefine/>
    <w:qFormat/>
    <w:uiPriority w:val="0"/>
    <w:pPr>
      <w:spacing w:after="120"/>
      <w:ind w:left="420" w:leftChars="200"/>
    </w:pPr>
    <w:rPr>
      <w:sz w:val="16"/>
      <w:szCs w:val="16"/>
    </w:rPr>
  </w:style>
  <w:style w:type="paragraph" w:styleId="40">
    <w:name w:val="table of figures"/>
    <w:basedOn w:val="1"/>
    <w:next w:val="1"/>
    <w:autoRedefine/>
    <w:qFormat/>
    <w:uiPriority w:val="0"/>
    <w:pPr>
      <w:ind w:left="200" w:leftChars="200" w:hanging="200" w:hangingChars="200"/>
    </w:pPr>
  </w:style>
  <w:style w:type="paragraph" w:styleId="41">
    <w:name w:val="toc 2"/>
    <w:basedOn w:val="1"/>
    <w:next w:val="1"/>
    <w:autoRedefine/>
    <w:qFormat/>
    <w:uiPriority w:val="0"/>
    <w:pPr>
      <w:ind w:left="210"/>
      <w:jc w:val="left"/>
    </w:pPr>
    <w:rPr>
      <w:smallCaps/>
      <w:sz w:val="20"/>
      <w:szCs w:val="20"/>
    </w:rPr>
  </w:style>
  <w:style w:type="paragraph" w:styleId="42">
    <w:name w:val="toc 9"/>
    <w:basedOn w:val="1"/>
    <w:next w:val="1"/>
    <w:autoRedefine/>
    <w:qFormat/>
    <w:uiPriority w:val="0"/>
    <w:pPr>
      <w:ind w:left="1680"/>
      <w:jc w:val="left"/>
    </w:pPr>
    <w:rPr>
      <w:sz w:val="18"/>
      <w:szCs w:val="18"/>
    </w:rPr>
  </w:style>
  <w:style w:type="paragraph" w:styleId="43">
    <w:name w:val="Body Text 2"/>
    <w:basedOn w:val="1"/>
    <w:autoRedefine/>
    <w:qFormat/>
    <w:uiPriority w:val="0"/>
    <w:pPr>
      <w:spacing w:line="360" w:lineRule="auto"/>
      <w:ind w:firstLine="200" w:firstLineChars="200"/>
    </w:pPr>
  </w:style>
  <w:style w:type="paragraph" w:styleId="44">
    <w:name w:val="Message Header"/>
    <w:basedOn w:val="1"/>
    <w:next w:val="13"/>
    <w:autoRedefine/>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45">
    <w:name w:val="HTML Preformatted"/>
    <w:basedOn w:val="1"/>
    <w:link w:val="15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alibri"/>
      <w:kern w:val="0"/>
      <w:sz w:val="24"/>
    </w:rPr>
  </w:style>
  <w:style w:type="paragraph" w:styleId="46">
    <w:name w:val="Normal (Web)"/>
    <w:basedOn w:val="1"/>
    <w:next w:val="47"/>
    <w:autoRedefine/>
    <w:qFormat/>
    <w:uiPriority w:val="0"/>
    <w:pPr>
      <w:widowControl/>
      <w:jc w:val="left"/>
    </w:pPr>
    <w:rPr>
      <w:rFonts w:ascii="宋体" w:hAnsi="宋体" w:cs="宋体"/>
      <w:kern w:val="0"/>
      <w:sz w:val="18"/>
      <w:szCs w:val="18"/>
    </w:rPr>
  </w:style>
  <w:style w:type="paragraph" w:customStyle="1" w:styleId="47">
    <w:name w:val="正文文字 8"/>
    <w:basedOn w:val="1"/>
    <w:next w:val="1"/>
    <w:autoRedefine/>
    <w:qFormat/>
    <w:uiPriority w:val="0"/>
    <w:pPr>
      <w:ind w:left="240"/>
    </w:pPr>
    <w:rPr>
      <w:sz w:val="16"/>
    </w:rPr>
  </w:style>
  <w:style w:type="paragraph" w:styleId="48">
    <w:name w:val="Title"/>
    <w:basedOn w:val="1"/>
    <w:next w:val="1"/>
    <w:link w:val="142"/>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9">
    <w:name w:val="annotation subject"/>
    <w:basedOn w:val="15"/>
    <w:next w:val="15"/>
    <w:link w:val="149"/>
    <w:autoRedefine/>
    <w:qFormat/>
    <w:uiPriority w:val="0"/>
    <w:rPr>
      <w:b/>
      <w:bCs/>
    </w:rPr>
  </w:style>
  <w:style w:type="paragraph" w:styleId="50">
    <w:name w:val="Body Text First Indent 2"/>
    <w:basedOn w:val="18"/>
    <w:next w:val="1"/>
    <w:link w:val="170"/>
    <w:autoRedefine/>
    <w:qFormat/>
    <w:uiPriority w:val="0"/>
    <w:pPr>
      <w:spacing w:after="120" w:line="240" w:lineRule="auto"/>
      <w:ind w:left="420" w:leftChars="200" w:firstLine="420" w:firstLineChars="200"/>
    </w:pPr>
    <w:rPr>
      <w:sz w:val="21"/>
    </w:rPr>
  </w:style>
  <w:style w:type="table" w:styleId="52">
    <w:name w:val="Table Grid"/>
    <w:basedOn w:val="5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autoRedefine/>
    <w:qFormat/>
    <w:uiPriority w:val="0"/>
    <w:rPr>
      <w:b/>
    </w:rPr>
  </w:style>
  <w:style w:type="character" w:styleId="55">
    <w:name w:val="page number"/>
    <w:autoRedefine/>
    <w:qFormat/>
    <w:uiPriority w:val="0"/>
  </w:style>
  <w:style w:type="character" w:styleId="56">
    <w:name w:val="FollowedHyperlink"/>
    <w:autoRedefine/>
    <w:unhideWhenUsed/>
    <w:qFormat/>
    <w:uiPriority w:val="0"/>
    <w:rPr>
      <w:color w:val="800080"/>
      <w:u w:val="none"/>
    </w:rPr>
  </w:style>
  <w:style w:type="character" w:styleId="57">
    <w:name w:val="Emphasis"/>
    <w:autoRedefine/>
    <w:qFormat/>
    <w:uiPriority w:val="0"/>
    <w:rPr>
      <w:color w:val="CC0033"/>
    </w:rPr>
  </w:style>
  <w:style w:type="character" w:styleId="58">
    <w:name w:val="HTML Definition"/>
    <w:autoRedefine/>
    <w:qFormat/>
    <w:uiPriority w:val="0"/>
  </w:style>
  <w:style w:type="character" w:styleId="59">
    <w:name w:val="HTML Typewriter"/>
    <w:autoRedefine/>
    <w:qFormat/>
    <w:uiPriority w:val="0"/>
    <w:rPr>
      <w:rFonts w:ascii="Monospace" w:hAnsi="Monospace" w:eastAsia="Monospace" w:cs="Monospace"/>
      <w:sz w:val="20"/>
      <w:lang w:bidi="ar-SA"/>
    </w:rPr>
  </w:style>
  <w:style w:type="character" w:styleId="60">
    <w:name w:val="HTML Acronym"/>
    <w:autoRedefine/>
    <w:qFormat/>
    <w:uiPriority w:val="0"/>
  </w:style>
  <w:style w:type="character" w:styleId="61">
    <w:name w:val="HTML Variable"/>
    <w:autoRedefine/>
    <w:qFormat/>
    <w:uiPriority w:val="0"/>
  </w:style>
  <w:style w:type="character" w:styleId="62">
    <w:name w:val="Hyperlink"/>
    <w:autoRedefine/>
    <w:qFormat/>
    <w:uiPriority w:val="0"/>
    <w:rPr>
      <w:color w:val="333333"/>
      <w:u w:val="none"/>
    </w:rPr>
  </w:style>
  <w:style w:type="character" w:styleId="63">
    <w:name w:val="HTML Code"/>
    <w:autoRedefine/>
    <w:qFormat/>
    <w:uiPriority w:val="0"/>
    <w:rPr>
      <w:rFonts w:ascii="Monospace" w:hAnsi="Monospace" w:eastAsia="Monospace" w:cs="Monospace"/>
      <w:sz w:val="20"/>
      <w:lang w:bidi="ar-SA"/>
    </w:rPr>
  </w:style>
  <w:style w:type="character" w:styleId="64">
    <w:name w:val="annotation reference"/>
    <w:autoRedefine/>
    <w:qFormat/>
    <w:uiPriority w:val="0"/>
    <w:rPr>
      <w:sz w:val="21"/>
      <w:szCs w:val="21"/>
    </w:rPr>
  </w:style>
  <w:style w:type="character" w:styleId="65">
    <w:name w:val="HTML Cite"/>
    <w:autoRedefine/>
    <w:qFormat/>
    <w:uiPriority w:val="0"/>
  </w:style>
  <w:style w:type="character" w:styleId="66">
    <w:name w:val="footnote reference"/>
    <w:autoRedefine/>
    <w:qFormat/>
    <w:uiPriority w:val="0"/>
    <w:rPr>
      <w:vertAlign w:val="superscript"/>
    </w:rPr>
  </w:style>
  <w:style w:type="character" w:styleId="67">
    <w:name w:val="HTML Keyboard"/>
    <w:autoRedefine/>
    <w:qFormat/>
    <w:uiPriority w:val="0"/>
    <w:rPr>
      <w:rFonts w:ascii="Monospace" w:hAnsi="Monospace" w:eastAsia="Monospace" w:cs="Monospace"/>
      <w:sz w:val="20"/>
      <w:lang w:bidi="ar-SA"/>
    </w:rPr>
  </w:style>
  <w:style w:type="character" w:styleId="68">
    <w:name w:val="HTML Sample"/>
    <w:autoRedefine/>
    <w:qFormat/>
    <w:uiPriority w:val="0"/>
    <w:rPr>
      <w:rFonts w:ascii="Monospace" w:hAnsi="Monospace" w:eastAsia="Monospace" w:cs="Monospace"/>
      <w:lang w:bidi="ar-SA"/>
    </w:rPr>
  </w:style>
  <w:style w:type="character" w:customStyle="1" w:styleId="69">
    <w:name w:val="l21"/>
    <w:autoRedefine/>
    <w:qFormat/>
    <w:uiPriority w:val="0"/>
    <w:rPr>
      <w:color w:val="999999"/>
    </w:rPr>
  </w:style>
  <w:style w:type="character" w:customStyle="1" w:styleId="70">
    <w:name w:val="页脚 字符"/>
    <w:link w:val="29"/>
    <w:autoRedefine/>
    <w:qFormat/>
    <w:uiPriority w:val="0"/>
    <w:rPr>
      <w:kern w:val="2"/>
      <w:sz w:val="18"/>
      <w:szCs w:val="18"/>
    </w:rPr>
  </w:style>
  <w:style w:type="character" w:customStyle="1" w:styleId="71">
    <w:name w:val="正文文本缩进 3 字符"/>
    <w:link w:val="39"/>
    <w:autoRedefine/>
    <w:qFormat/>
    <w:uiPriority w:val="0"/>
    <w:rPr>
      <w:kern w:val="2"/>
      <w:sz w:val="16"/>
      <w:szCs w:val="16"/>
    </w:rPr>
  </w:style>
  <w:style w:type="character" w:customStyle="1" w:styleId="72">
    <w:name w:val="over"/>
    <w:autoRedefine/>
    <w:qFormat/>
    <w:uiPriority w:val="0"/>
    <w:rPr>
      <w:color w:val="B60000"/>
    </w:rPr>
  </w:style>
  <w:style w:type="character" w:customStyle="1" w:styleId="73">
    <w:name w:val="tit13"/>
    <w:autoRedefine/>
    <w:qFormat/>
    <w:uiPriority w:val="0"/>
    <w:rPr>
      <w:color w:val="FFFFFF"/>
    </w:rPr>
  </w:style>
  <w:style w:type="character" w:customStyle="1" w:styleId="74">
    <w:name w:val="tit15"/>
    <w:autoRedefine/>
    <w:qFormat/>
    <w:uiPriority w:val="0"/>
    <w:rPr>
      <w:b/>
      <w:color w:val="B60000"/>
    </w:rPr>
  </w:style>
  <w:style w:type="character" w:customStyle="1" w:styleId="75">
    <w:name w:val="mesg-myd"/>
    <w:autoRedefine/>
    <w:qFormat/>
    <w:uiPriority w:val="0"/>
    <w:rPr>
      <w:color w:val="EE0000"/>
    </w:rPr>
  </w:style>
  <w:style w:type="character" w:customStyle="1" w:styleId="76">
    <w:name w:val="img_title8"/>
    <w:autoRedefine/>
    <w:qFormat/>
    <w:uiPriority w:val="0"/>
    <w:rPr>
      <w:vanish/>
    </w:rPr>
  </w:style>
  <w:style w:type="character" w:customStyle="1" w:styleId="77">
    <w:name w:val="l11"/>
    <w:autoRedefine/>
    <w:qFormat/>
    <w:uiPriority w:val="0"/>
    <w:rPr>
      <w:color w:val="999999"/>
    </w:rPr>
  </w:style>
  <w:style w:type="character" w:customStyle="1" w:styleId="78">
    <w:name w:val="over1"/>
    <w:autoRedefine/>
    <w:qFormat/>
    <w:uiPriority w:val="0"/>
    <w:rPr>
      <w:color w:val="B60000"/>
    </w:rPr>
  </w:style>
  <w:style w:type="character" w:customStyle="1" w:styleId="79">
    <w:name w:val="Char Char7"/>
    <w:autoRedefine/>
    <w:qFormat/>
    <w:uiPriority w:val="0"/>
    <w:rPr>
      <w:rFonts w:ascii="Arial" w:hAnsi="Arial" w:eastAsia="黑体"/>
      <w:b/>
      <w:bCs/>
      <w:kern w:val="2"/>
      <w:sz w:val="32"/>
      <w:szCs w:val="32"/>
      <w:lang w:val="en-US" w:eastAsia="zh-CN" w:bidi="ar-SA"/>
    </w:rPr>
  </w:style>
  <w:style w:type="character" w:customStyle="1" w:styleId="80">
    <w:name w:val="Char Char5"/>
    <w:autoRedefine/>
    <w:qFormat/>
    <w:uiPriority w:val="0"/>
    <w:rPr>
      <w:rFonts w:ascii="Arial" w:hAnsi="Arial" w:eastAsia="黑体"/>
      <w:b/>
      <w:bCs/>
      <w:kern w:val="2"/>
      <w:sz w:val="32"/>
      <w:szCs w:val="32"/>
    </w:rPr>
  </w:style>
  <w:style w:type="character" w:customStyle="1" w:styleId="81">
    <w:name w:val="starting1"/>
    <w:autoRedefine/>
    <w:qFormat/>
    <w:uiPriority w:val="0"/>
    <w:rPr>
      <w:color w:val="339900"/>
    </w:rPr>
  </w:style>
  <w:style w:type="character" w:customStyle="1" w:styleId="82">
    <w:name w:val="num61"/>
    <w:autoRedefine/>
    <w:qFormat/>
    <w:uiPriority w:val="0"/>
  </w:style>
  <w:style w:type="character" w:customStyle="1" w:styleId="83">
    <w:name w:val="标题 4 字符"/>
    <w:link w:val="6"/>
    <w:autoRedefine/>
    <w:qFormat/>
    <w:uiPriority w:val="0"/>
    <w:rPr>
      <w:rFonts w:ascii="Arial" w:hAnsi="Arial" w:eastAsia="黑体"/>
      <w:b/>
      <w:bCs/>
      <w:kern w:val="2"/>
      <w:sz w:val="28"/>
      <w:szCs w:val="28"/>
    </w:rPr>
  </w:style>
  <w:style w:type="character" w:customStyle="1" w:styleId="84">
    <w:name w:val="z-窗体顶端 字符"/>
    <w:link w:val="85"/>
    <w:autoRedefine/>
    <w:qFormat/>
    <w:uiPriority w:val="0"/>
    <w:rPr>
      <w:rFonts w:ascii="Arial" w:hAnsi="Calibri"/>
      <w:vanish/>
      <w:kern w:val="2"/>
      <w:sz w:val="16"/>
      <w:szCs w:val="24"/>
    </w:rPr>
  </w:style>
  <w:style w:type="paragraph" w:customStyle="1" w:styleId="85">
    <w:name w:val="z-窗体顶端1"/>
    <w:basedOn w:val="1"/>
    <w:next w:val="1"/>
    <w:link w:val="84"/>
    <w:autoRedefine/>
    <w:qFormat/>
    <w:uiPriority w:val="0"/>
    <w:pPr>
      <w:pBdr>
        <w:bottom w:val="single" w:color="auto" w:sz="6" w:space="1"/>
      </w:pBdr>
      <w:jc w:val="center"/>
    </w:pPr>
    <w:rPr>
      <w:rFonts w:ascii="Arial" w:hAnsi="Calibri"/>
      <w:vanish/>
      <w:sz w:val="16"/>
    </w:rPr>
  </w:style>
  <w:style w:type="character" w:customStyle="1" w:styleId="86">
    <w:name w:val="z-窗体底端 字符"/>
    <w:link w:val="87"/>
    <w:autoRedefine/>
    <w:qFormat/>
    <w:uiPriority w:val="0"/>
    <w:rPr>
      <w:rFonts w:ascii="Arial" w:hAnsi="Calibri"/>
      <w:vanish/>
      <w:kern w:val="2"/>
      <w:sz w:val="16"/>
      <w:szCs w:val="24"/>
    </w:rPr>
  </w:style>
  <w:style w:type="paragraph" w:customStyle="1" w:styleId="87">
    <w:name w:val="z-窗体底端1"/>
    <w:basedOn w:val="1"/>
    <w:next w:val="1"/>
    <w:link w:val="86"/>
    <w:autoRedefine/>
    <w:qFormat/>
    <w:uiPriority w:val="0"/>
    <w:pPr>
      <w:pBdr>
        <w:top w:val="single" w:color="auto" w:sz="6" w:space="1"/>
      </w:pBdr>
      <w:jc w:val="center"/>
    </w:pPr>
    <w:rPr>
      <w:rFonts w:ascii="Arial" w:hAnsi="Calibri"/>
      <w:vanish/>
      <w:sz w:val="16"/>
    </w:rPr>
  </w:style>
  <w:style w:type="character" w:customStyle="1" w:styleId="88">
    <w:name w:val="nostart3"/>
    <w:autoRedefine/>
    <w:qFormat/>
    <w:uiPriority w:val="0"/>
  </w:style>
  <w:style w:type="character" w:customStyle="1" w:styleId="89">
    <w:name w:val="标题 8 字符"/>
    <w:link w:val="10"/>
    <w:autoRedefine/>
    <w:qFormat/>
    <w:uiPriority w:val="0"/>
    <w:rPr>
      <w:rFonts w:ascii="Arial" w:hAnsi="Arial" w:eastAsia="黑体"/>
      <w:sz w:val="24"/>
      <w:szCs w:val="24"/>
    </w:rPr>
  </w:style>
  <w:style w:type="character" w:customStyle="1" w:styleId="90">
    <w:name w:val="bsharetext"/>
    <w:autoRedefine/>
    <w:qFormat/>
    <w:uiPriority w:val="0"/>
  </w:style>
  <w:style w:type="character" w:customStyle="1" w:styleId="91">
    <w:name w:val="name"/>
    <w:autoRedefine/>
    <w:qFormat/>
    <w:uiPriority w:val="0"/>
    <w:rPr>
      <w:color w:val="444444"/>
      <w:sz w:val="21"/>
      <w:szCs w:val="21"/>
    </w:rPr>
  </w:style>
  <w:style w:type="character" w:customStyle="1" w:styleId="92">
    <w:name w:val="Char Char2"/>
    <w:autoRedefine/>
    <w:qFormat/>
    <w:uiPriority w:val="0"/>
    <w:rPr>
      <w:rFonts w:eastAsia="宋体"/>
      <w:kern w:val="2"/>
      <w:sz w:val="21"/>
      <w:szCs w:val="24"/>
      <w:lang w:val="en-US" w:eastAsia="zh-CN" w:bidi="ar-SA"/>
    </w:rPr>
  </w:style>
  <w:style w:type="character" w:customStyle="1" w:styleId="93">
    <w:name w:val="tit12"/>
    <w:autoRedefine/>
    <w:qFormat/>
    <w:uiPriority w:val="0"/>
    <w:rPr>
      <w:color w:val="04A06C"/>
    </w:rPr>
  </w:style>
  <w:style w:type="character" w:customStyle="1" w:styleId="94">
    <w:name w:val="starting"/>
    <w:autoRedefine/>
    <w:qFormat/>
    <w:uiPriority w:val="0"/>
    <w:rPr>
      <w:color w:val="339900"/>
    </w:rPr>
  </w:style>
  <w:style w:type="character" w:customStyle="1" w:styleId="95">
    <w:name w:val="纯文本 Char1"/>
    <w:autoRedefine/>
    <w:qFormat/>
    <w:uiPriority w:val="0"/>
    <w:rPr>
      <w:rFonts w:ascii="Courier New" w:hAnsi="Courier New" w:eastAsia="宋体"/>
      <w:kern w:val="2"/>
      <w:sz w:val="21"/>
      <w:lang w:val="en-US" w:eastAsia="zh-CN" w:bidi="ar-SA"/>
    </w:rPr>
  </w:style>
  <w:style w:type="character" w:customStyle="1" w:styleId="96">
    <w:name w:val="tit10"/>
    <w:autoRedefine/>
    <w:qFormat/>
    <w:uiPriority w:val="0"/>
    <w:rPr>
      <w:color w:val="B60000"/>
    </w:rPr>
  </w:style>
  <w:style w:type="character" w:customStyle="1" w:styleId="97">
    <w:name w:val="job1"/>
    <w:autoRedefine/>
    <w:qFormat/>
    <w:uiPriority w:val="0"/>
  </w:style>
  <w:style w:type="character" w:customStyle="1" w:styleId="98">
    <w:name w:val="font61"/>
    <w:autoRedefine/>
    <w:qFormat/>
    <w:uiPriority w:val="0"/>
    <w:rPr>
      <w:rFonts w:ascii="Calibri" w:hAnsi="Calibri" w:cs="Calibri"/>
      <w:color w:val="000000"/>
      <w:sz w:val="24"/>
      <w:szCs w:val="24"/>
      <w:u w:val="none"/>
    </w:rPr>
  </w:style>
  <w:style w:type="character" w:customStyle="1" w:styleId="99">
    <w:name w:val="num210"/>
    <w:autoRedefine/>
    <w:qFormat/>
    <w:uiPriority w:val="0"/>
  </w:style>
  <w:style w:type="character" w:customStyle="1" w:styleId="100">
    <w:name w:val="job"/>
    <w:autoRedefine/>
    <w:qFormat/>
    <w:uiPriority w:val="0"/>
  </w:style>
  <w:style w:type="character" w:customStyle="1" w:styleId="101">
    <w:name w:val="msg-box28"/>
    <w:autoRedefine/>
    <w:qFormat/>
    <w:uiPriority w:val="0"/>
  </w:style>
  <w:style w:type="character" w:customStyle="1" w:styleId="102">
    <w:name w:val="17"/>
    <w:autoRedefine/>
    <w:qFormat/>
    <w:uiPriority w:val="0"/>
    <w:rPr>
      <w:rFonts w:ascii="仿宋_GB2312" w:eastAsia="仿宋_GB2312"/>
      <w:color w:val="auto"/>
      <w:sz w:val="28"/>
      <w:szCs w:val="28"/>
      <w:u w:val="single"/>
    </w:rPr>
  </w:style>
  <w:style w:type="character" w:customStyle="1" w:styleId="103">
    <w:name w:val="msg-box30"/>
    <w:autoRedefine/>
    <w:qFormat/>
    <w:uiPriority w:val="0"/>
  </w:style>
  <w:style w:type="character" w:customStyle="1" w:styleId="104">
    <w:name w:val="over2"/>
    <w:autoRedefine/>
    <w:qFormat/>
    <w:uiPriority w:val="0"/>
    <w:rPr>
      <w:color w:val="999999"/>
    </w:rPr>
  </w:style>
  <w:style w:type="character" w:customStyle="1" w:styleId="105">
    <w:name w:val="starting4"/>
    <w:autoRedefine/>
    <w:qFormat/>
    <w:uiPriority w:val="0"/>
  </w:style>
  <w:style w:type="character" w:customStyle="1" w:styleId="106">
    <w:name w:val="datetime"/>
    <w:autoRedefine/>
    <w:qFormat/>
    <w:uiPriority w:val="0"/>
    <w:rPr>
      <w:rFonts w:ascii="Arial" w:hAnsi="Arial" w:cs="Arial"/>
      <w:color w:val="999999"/>
      <w:sz w:val="21"/>
      <w:szCs w:val="21"/>
      <w:lang w:bidi="ar-SA"/>
    </w:rPr>
  </w:style>
  <w:style w:type="character" w:customStyle="1" w:styleId="107">
    <w:name w:val="标题 6 字符"/>
    <w:link w:val="8"/>
    <w:autoRedefine/>
    <w:qFormat/>
    <w:uiPriority w:val="0"/>
    <w:rPr>
      <w:rFonts w:ascii="Arial" w:hAnsi="Arial" w:eastAsia="黑体"/>
      <w:b/>
      <w:bCs/>
      <w:sz w:val="24"/>
      <w:szCs w:val="24"/>
    </w:rPr>
  </w:style>
  <w:style w:type="character" w:customStyle="1" w:styleId="108">
    <w:name w:val="red"/>
    <w:autoRedefine/>
    <w:qFormat/>
    <w:uiPriority w:val="0"/>
    <w:rPr>
      <w:rFonts w:ascii="Arial" w:hAnsi="Arial" w:cs="Arial"/>
      <w:color w:val="E50000"/>
      <w:lang w:bidi="ar-SA"/>
    </w:rPr>
  </w:style>
  <w:style w:type="character" w:customStyle="1" w:styleId="109">
    <w:name w:val="tit14"/>
    <w:autoRedefine/>
    <w:qFormat/>
    <w:uiPriority w:val="0"/>
    <w:rPr>
      <w:color w:val="B60000"/>
    </w:rPr>
  </w:style>
  <w:style w:type="character" w:customStyle="1" w:styleId="110">
    <w:name w:val="img_title9"/>
    <w:autoRedefine/>
    <w:qFormat/>
    <w:uiPriority w:val="0"/>
    <w:rPr>
      <w:vanish/>
    </w:rPr>
  </w:style>
  <w:style w:type="character" w:customStyle="1" w:styleId="111">
    <w:name w:val="p05"/>
    <w:autoRedefine/>
    <w:qFormat/>
    <w:uiPriority w:val="0"/>
  </w:style>
  <w:style w:type="character" w:customStyle="1" w:styleId="112">
    <w:name w:val="nostart2"/>
    <w:autoRedefine/>
    <w:qFormat/>
    <w:uiPriority w:val="0"/>
    <w:rPr>
      <w:color w:val="B60000"/>
    </w:rPr>
  </w:style>
  <w:style w:type="character" w:customStyle="1" w:styleId="113">
    <w:name w:val="img_title6"/>
    <w:autoRedefine/>
    <w:qFormat/>
    <w:uiPriority w:val="0"/>
    <w:rPr>
      <w:vanish/>
    </w:rPr>
  </w:style>
  <w:style w:type="character" w:customStyle="1" w:styleId="114">
    <w:name w:val="正文文本缩进 字符"/>
    <w:link w:val="18"/>
    <w:autoRedefine/>
    <w:qFormat/>
    <w:uiPriority w:val="0"/>
    <w:rPr>
      <w:kern w:val="2"/>
      <w:sz w:val="28"/>
      <w:szCs w:val="24"/>
    </w:rPr>
  </w:style>
  <w:style w:type="character" w:customStyle="1" w:styleId="115">
    <w:name w:val="Char Char71"/>
    <w:autoRedefine/>
    <w:qFormat/>
    <w:uiPriority w:val="0"/>
    <w:rPr>
      <w:rFonts w:ascii="Arial" w:hAnsi="Arial" w:eastAsia="黑体"/>
      <w:b/>
      <w:bCs/>
      <w:kern w:val="2"/>
      <w:sz w:val="32"/>
      <w:szCs w:val="32"/>
      <w:lang w:val="en-US" w:eastAsia="zh-CN" w:bidi="ar-SA"/>
    </w:rPr>
  </w:style>
  <w:style w:type="character" w:customStyle="1" w:styleId="116">
    <w:name w:val="Char Char8"/>
    <w:autoRedefine/>
    <w:qFormat/>
    <w:uiPriority w:val="0"/>
    <w:rPr>
      <w:rFonts w:ascii="Arial" w:hAnsi="Arial" w:eastAsia="黑体"/>
      <w:b/>
      <w:bCs/>
      <w:kern w:val="2"/>
      <w:sz w:val="32"/>
      <w:szCs w:val="32"/>
      <w:lang w:val="en-US" w:eastAsia="zh-CN" w:bidi="ar-SA"/>
    </w:rPr>
  </w:style>
  <w:style w:type="character" w:customStyle="1" w:styleId="117">
    <w:name w:val="num51"/>
    <w:autoRedefine/>
    <w:qFormat/>
    <w:uiPriority w:val="0"/>
  </w:style>
  <w:style w:type="character" w:customStyle="1" w:styleId="118">
    <w:name w:val="img_title7"/>
    <w:autoRedefine/>
    <w:qFormat/>
    <w:uiPriority w:val="0"/>
    <w:rPr>
      <w:vanish/>
    </w:rPr>
  </w:style>
  <w:style w:type="character" w:customStyle="1" w:styleId="119">
    <w:name w:val="批注框文本 字符"/>
    <w:link w:val="28"/>
    <w:autoRedefine/>
    <w:qFormat/>
    <w:uiPriority w:val="0"/>
    <w:rPr>
      <w:kern w:val="2"/>
      <w:sz w:val="18"/>
      <w:szCs w:val="18"/>
    </w:rPr>
  </w:style>
  <w:style w:type="character" w:customStyle="1" w:styleId="120">
    <w:name w:val="buvis"/>
    <w:autoRedefine/>
    <w:qFormat/>
    <w:uiPriority w:val="0"/>
    <w:rPr>
      <w:color w:val="999999"/>
    </w:rPr>
  </w:style>
  <w:style w:type="character" w:customStyle="1" w:styleId="121">
    <w:name w:val="num31"/>
    <w:autoRedefine/>
    <w:qFormat/>
    <w:uiPriority w:val="0"/>
  </w:style>
  <w:style w:type="character" w:customStyle="1" w:styleId="122">
    <w:name w:val="nostart"/>
    <w:autoRedefine/>
    <w:qFormat/>
    <w:uiPriority w:val="0"/>
    <w:rPr>
      <w:color w:val="FF0000"/>
    </w:rPr>
  </w:style>
  <w:style w:type="character" w:customStyle="1" w:styleId="123">
    <w:name w:val="unit"/>
    <w:autoRedefine/>
    <w:qFormat/>
    <w:uiPriority w:val="0"/>
    <w:rPr>
      <w:color w:val="999999"/>
    </w:rPr>
  </w:style>
  <w:style w:type="character" w:customStyle="1" w:styleId="124">
    <w:name w:val="l6"/>
    <w:autoRedefine/>
    <w:qFormat/>
    <w:uiPriority w:val="0"/>
    <w:rPr>
      <w:color w:val="999999"/>
    </w:rPr>
  </w:style>
  <w:style w:type="character" w:customStyle="1" w:styleId="125">
    <w:name w:val="脚注文本 字符"/>
    <w:link w:val="34"/>
    <w:autoRedefine/>
    <w:qFormat/>
    <w:uiPriority w:val="0"/>
    <w:rPr>
      <w:kern w:val="2"/>
    </w:rPr>
  </w:style>
  <w:style w:type="character" w:customStyle="1" w:styleId="126">
    <w:name w:val="纯文本 字符"/>
    <w:link w:val="24"/>
    <w:autoRedefine/>
    <w:qFormat/>
    <w:uiPriority w:val="0"/>
    <w:rPr>
      <w:rFonts w:ascii="Courier New" w:hAnsi="Courier New"/>
      <w:kern w:val="2"/>
      <w:sz w:val="21"/>
    </w:rPr>
  </w:style>
  <w:style w:type="character" w:customStyle="1" w:styleId="127">
    <w:name w:val="num81"/>
    <w:autoRedefine/>
    <w:qFormat/>
    <w:uiPriority w:val="0"/>
  </w:style>
  <w:style w:type="character" w:customStyle="1" w:styleId="128">
    <w:name w:val="Char Char81"/>
    <w:autoRedefine/>
    <w:qFormat/>
    <w:uiPriority w:val="0"/>
    <w:rPr>
      <w:rFonts w:ascii="Arial" w:hAnsi="Arial" w:eastAsia="黑体"/>
      <w:b/>
      <w:bCs/>
      <w:kern w:val="2"/>
      <w:sz w:val="32"/>
      <w:szCs w:val="32"/>
      <w:lang w:val="en-US" w:eastAsia="zh-CN" w:bidi="ar-SA"/>
    </w:rPr>
  </w:style>
  <w:style w:type="character" w:customStyle="1" w:styleId="129">
    <w:name w:val="正文文本 3 字符"/>
    <w:link w:val="16"/>
    <w:autoRedefine/>
    <w:qFormat/>
    <w:uiPriority w:val="0"/>
    <w:rPr>
      <w:rFonts w:ascii="宋体"/>
      <w:kern w:val="2"/>
      <w:sz w:val="24"/>
    </w:rPr>
  </w:style>
  <w:style w:type="character" w:customStyle="1" w:styleId="130">
    <w:name w:val="jg"/>
    <w:autoRedefine/>
    <w:qFormat/>
    <w:uiPriority w:val="0"/>
  </w:style>
  <w:style w:type="character" w:customStyle="1" w:styleId="131">
    <w:name w:val="16"/>
    <w:autoRedefine/>
    <w:qFormat/>
    <w:uiPriority w:val="0"/>
    <w:rPr>
      <w:rFonts w:ascii="仿宋_GB2312" w:eastAsia="仿宋_GB2312"/>
      <w:color w:val="auto"/>
      <w:sz w:val="28"/>
      <w:szCs w:val="28"/>
    </w:rPr>
  </w:style>
  <w:style w:type="character" w:customStyle="1" w:styleId="132">
    <w:name w:val="正文文本 字符"/>
    <w:link w:val="17"/>
    <w:autoRedefine/>
    <w:qFormat/>
    <w:uiPriority w:val="0"/>
    <w:rPr>
      <w:b/>
      <w:bCs/>
      <w:kern w:val="2"/>
      <w:sz w:val="44"/>
    </w:rPr>
  </w:style>
  <w:style w:type="character" w:customStyle="1" w:styleId="133">
    <w:name w:val="Char Char1"/>
    <w:autoRedefine/>
    <w:qFormat/>
    <w:uiPriority w:val="0"/>
    <w:rPr>
      <w:rFonts w:eastAsia="宋体"/>
      <w:kern w:val="2"/>
      <w:sz w:val="21"/>
      <w:szCs w:val="24"/>
      <w:lang w:val="en-US" w:eastAsia="zh-CN" w:bidi="ar-SA"/>
    </w:rPr>
  </w:style>
  <w:style w:type="character" w:customStyle="1" w:styleId="134">
    <w:name w:val="starting3"/>
    <w:autoRedefine/>
    <w:qFormat/>
    <w:uiPriority w:val="0"/>
  </w:style>
  <w:style w:type="character" w:customStyle="1" w:styleId="135">
    <w:name w:val="标题 5 字符"/>
    <w:link w:val="7"/>
    <w:autoRedefine/>
    <w:qFormat/>
    <w:uiPriority w:val="0"/>
    <w:rPr>
      <w:rFonts w:ascii="Calibri" w:hAnsi="Calibri"/>
      <w:b/>
      <w:bCs/>
      <w:kern w:val="2"/>
      <w:sz w:val="28"/>
      <w:szCs w:val="28"/>
    </w:rPr>
  </w:style>
  <w:style w:type="character" w:customStyle="1" w:styleId="136">
    <w:name w:val="l51"/>
    <w:autoRedefine/>
    <w:qFormat/>
    <w:uiPriority w:val="0"/>
    <w:rPr>
      <w:color w:val="999999"/>
    </w:rPr>
  </w:style>
  <w:style w:type="character" w:customStyle="1" w:styleId="137">
    <w:name w:val="Char Char Char"/>
    <w:autoRedefine/>
    <w:qFormat/>
    <w:uiPriority w:val="0"/>
    <w:rPr>
      <w:rFonts w:eastAsia="宋体"/>
      <w:b/>
      <w:bCs/>
      <w:kern w:val="44"/>
      <w:sz w:val="44"/>
      <w:szCs w:val="44"/>
      <w:lang w:val="en-US" w:eastAsia="zh-CN" w:bidi="ar-SA"/>
    </w:rPr>
  </w:style>
  <w:style w:type="character" w:customStyle="1" w:styleId="138">
    <w:name w:val="starting2"/>
    <w:autoRedefine/>
    <w:qFormat/>
    <w:uiPriority w:val="0"/>
    <w:rPr>
      <w:color w:val="B60000"/>
    </w:rPr>
  </w:style>
  <w:style w:type="character" w:customStyle="1" w:styleId="139">
    <w:name w:val="zs"/>
    <w:autoRedefine/>
    <w:qFormat/>
    <w:uiPriority w:val="0"/>
    <w:rPr>
      <w:color w:val="8D744B"/>
      <w:sz w:val="18"/>
      <w:szCs w:val="18"/>
    </w:rPr>
  </w:style>
  <w:style w:type="character" w:customStyle="1" w:styleId="140">
    <w:name w:val="font161"/>
    <w:autoRedefine/>
    <w:qFormat/>
    <w:uiPriority w:val="0"/>
    <w:rPr>
      <w:b/>
      <w:bCs/>
      <w:sz w:val="32"/>
      <w:szCs w:val="32"/>
    </w:rPr>
  </w:style>
  <w:style w:type="character" w:customStyle="1" w:styleId="141">
    <w:name w:val="nostart1"/>
    <w:autoRedefine/>
    <w:qFormat/>
    <w:uiPriority w:val="0"/>
    <w:rPr>
      <w:color w:val="FF0000"/>
    </w:rPr>
  </w:style>
  <w:style w:type="character" w:customStyle="1" w:styleId="142">
    <w:name w:val="标题 字符"/>
    <w:link w:val="48"/>
    <w:autoRedefine/>
    <w:qFormat/>
    <w:uiPriority w:val="0"/>
    <w:rPr>
      <w:rFonts w:ascii="Arial" w:hAnsi="Arial"/>
      <w:b/>
      <w:sz w:val="32"/>
    </w:rPr>
  </w:style>
  <w:style w:type="character" w:customStyle="1" w:styleId="143">
    <w:name w:val="msg-box29"/>
    <w:autoRedefine/>
    <w:qFormat/>
    <w:uiPriority w:val="0"/>
  </w:style>
  <w:style w:type="character" w:customStyle="1" w:styleId="144">
    <w:name w:val="标题 7 字符"/>
    <w:link w:val="9"/>
    <w:autoRedefine/>
    <w:qFormat/>
    <w:uiPriority w:val="0"/>
    <w:rPr>
      <w:b/>
      <w:bCs/>
      <w:sz w:val="24"/>
      <w:szCs w:val="24"/>
    </w:rPr>
  </w:style>
  <w:style w:type="character" w:customStyle="1" w:styleId="145">
    <w:name w:val="over3"/>
    <w:autoRedefine/>
    <w:qFormat/>
    <w:uiPriority w:val="0"/>
  </w:style>
  <w:style w:type="character" w:customStyle="1" w:styleId="146">
    <w:name w:val="l41"/>
    <w:autoRedefine/>
    <w:qFormat/>
    <w:uiPriority w:val="0"/>
    <w:rPr>
      <w:color w:val="999999"/>
    </w:rPr>
  </w:style>
  <w:style w:type="character" w:customStyle="1" w:styleId="147">
    <w:name w:val="批注文字 字符"/>
    <w:link w:val="15"/>
    <w:autoRedefine/>
    <w:qFormat/>
    <w:uiPriority w:val="0"/>
    <w:rPr>
      <w:kern w:val="2"/>
      <w:sz w:val="21"/>
      <w:szCs w:val="24"/>
    </w:rPr>
  </w:style>
  <w:style w:type="character" w:customStyle="1" w:styleId="148">
    <w:name w:val="bigfont"/>
    <w:autoRedefine/>
    <w:qFormat/>
    <w:uiPriority w:val="0"/>
  </w:style>
  <w:style w:type="character" w:customStyle="1" w:styleId="149">
    <w:name w:val="批注主题 字符"/>
    <w:link w:val="49"/>
    <w:autoRedefine/>
    <w:qFormat/>
    <w:uiPriority w:val="0"/>
  </w:style>
  <w:style w:type="character" w:customStyle="1" w:styleId="150">
    <w:name w:val="font41"/>
    <w:autoRedefine/>
    <w:qFormat/>
    <w:uiPriority w:val="0"/>
    <w:rPr>
      <w:rFonts w:hint="eastAsia" w:ascii="宋体" w:hAnsi="宋体" w:eastAsia="宋体" w:cs="宋体"/>
      <w:color w:val="000000"/>
      <w:sz w:val="24"/>
      <w:szCs w:val="24"/>
      <w:u w:val="none"/>
    </w:rPr>
  </w:style>
  <w:style w:type="character" w:customStyle="1" w:styleId="151">
    <w:name w:val="l3"/>
    <w:autoRedefine/>
    <w:qFormat/>
    <w:uiPriority w:val="0"/>
    <w:rPr>
      <w:color w:val="999999"/>
    </w:rPr>
  </w:style>
  <w:style w:type="character" w:customStyle="1" w:styleId="152">
    <w:name w:val="Char Char21"/>
    <w:autoRedefine/>
    <w:qFormat/>
    <w:uiPriority w:val="0"/>
    <w:rPr>
      <w:rFonts w:eastAsia="宋体"/>
      <w:kern w:val="2"/>
      <w:sz w:val="21"/>
      <w:szCs w:val="24"/>
      <w:lang w:val="en-US" w:eastAsia="zh-CN" w:bidi="ar-SA"/>
    </w:rPr>
  </w:style>
  <w:style w:type="character" w:customStyle="1" w:styleId="153">
    <w:name w:val="标题 1 Char Char"/>
    <w:autoRedefine/>
    <w:qFormat/>
    <w:locked/>
    <w:uiPriority w:val="0"/>
    <w:rPr>
      <w:rFonts w:eastAsia="宋体"/>
      <w:b/>
      <w:bCs/>
      <w:kern w:val="44"/>
      <w:sz w:val="44"/>
      <w:szCs w:val="44"/>
      <w:lang w:val="en-US" w:eastAsia="zh-CN" w:bidi="ar-SA"/>
    </w:rPr>
  </w:style>
  <w:style w:type="character" w:customStyle="1" w:styleId="154">
    <w:name w:val="img4"/>
    <w:autoRedefine/>
    <w:qFormat/>
    <w:uiPriority w:val="0"/>
  </w:style>
  <w:style w:type="character" w:customStyle="1" w:styleId="155">
    <w:name w:val="标题 1 字符"/>
    <w:link w:val="2"/>
    <w:autoRedefine/>
    <w:qFormat/>
    <w:uiPriority w:val="0"/>
    <w:rPr>
      <w:rFonts w:ascii="Times New Roman" w:hAnsi="Times New Roman" w:eastAsia="宋体"/>
      <w:b/>
      <w:bCs/>
      <w:kern w:val="44"/>
      <w:sz w:val="24"/>
      <w:szCs w:val="44"/>
    </w:rPr>
  </w:style>
  <w:style w:type="character" w:customStyle="1" w:styleId="156">
    <w:name w:val="name1"/>
    <w:autoRedefine/>
    <w:qFormat/>
    <w:uiPriority w:val="0"/>
    <w:rPr>
      <w:color w:val="695435"/>
      <w:sz w:val="24"/>
      <w:szCs w:val="24"/>
    </w:rPr>
  </w:style>
  <w:style w:type="character" w:customStyle="1" w:styleId="157">
    <w:name w:val="font01"/>
    <w:autoRedefine/>
    <w:qFormat/>
    <w:uiPriority w:val="0"/>
    <w:rPr>
      <w:rFonts w:hint="eastAsia" w:ascii="仿宋_GB2312" w:eastAsia="仿宋_GB2312" w:cs="仿宋_GB2312"/>
      <w:color w:val="000000"/>
      <w:sz w:val="28"/>
      <w:szCs w:val="28"/>
      <w:u w:val="none"/>
    </w:rPr>
  </w:style>
  <w:style w:type="character" w:customStyle="1" w:styleId="158">
    <w:name w:val="HTML 预设格式 字符"/>
    <w:link w:val="45"/>
    <w:autoRedefine/>
    <w:qFormat/>
    <w:uiPriority w:val="0"/>
    <w:rPr>
      <w:rFonts w:ascii="宋体" w:hAnsi="Calibri"/>
      <w:sz w:val="24"/>
      <w:szCs w:val="24"/>
    </w:rPr>
  </w:style>
  <w:style w:type="character" w:customStyle="1" w:styleId="159">
    <w:name w:val="标题 2 Char Char"/>
    <w:autoRedefine/>
    <w:qFormat/>
    <w:locked/>
    <w:uiPriority w:val="0"/>
    <w:rPr>
      <w:rFonts w:ascii="Arial" w:hAnsi="Arial" w:eastAsia="黑体"/>
      <w:b/>
      <w:bCs/>
      <w:kern w:val="2"/>
      <w:sz w:val="32"/>
      <w:szCs w:val="32"/>
      <w:lang w:val="en-US" w:eastAsia="zh-CN" w:bidi="ar-SA"/>
    </w:rPr>
  </w:style>
  <w:style w:type="character" w:customStyle="1" w:styleId="160">
    <w:name w:val="msg-box31"/>
    <w:autoRedefine/>
    <w:qFormat/>
    <w:uiPriority w:val="0"/>
  </w:style>
  <w:style w:type="character" w:customStyle="1" w:styleId="161">
    <w:name w:val="font51"/>
    <w:autoRedefine/>
    <w:qFormat/>
    <w:uiPriority w:val="0"/>
    <w:rPr>
      <w:rFonts w:ascii="Arial" w:hAnsi="Arial" w:cs="Arial"/>
      <w:color w:val="000000"/>
      <w:sz w:val="24"/>
      <w:szCs w:val="24"/>
      <w:u w:val="none"/>
    </w:rPr>
  </w:style>
  <w:style w:type="character" w:customStyle="1" w:styleId="162">
    <w:name w:val="l7"/>
    <w:autoRedefine/>
    <w:qFormat/>
    <w:uiPriority w:val="0"/>
    <w:rPr>
      <w:color w:val="999999"/>
    </w:rPr>
  </w:style>
  <w:style w:type="character" w:customStyle="1" w:styleId="163">
    <w:name w:val="标题 2 Char"/>
    <w:autoRedefine/>
    <w:qFormat/>
    <w:uiPriority w:val="0"/>
    <w:rPr>
      <w:rFonts w:eastAsia="宋体"/>
      <w:sz w:val="24"/>
      <w:lang w:val="en-US" w:eastAsia="zh-CN" w:bidi="ar-SA"/>
    </w:rPr>
  </w:style>
  <w:style w:type="character" w:customStyle="1" w:styleId="164">
    <w:name w:val="标题 9 字符"/>
    <w:link w:val="11"/>
    <w:autoRedefine/>
    <w:qFormat/>
    <w:uiPriority w:val="0"/>
    <w:rPr>
      <w:rFonts w:ascii="Arial" w:hAnsi="Arial" w:eastAsia="黑体"/>
      <w:sz w:val="21"/>
      <w:szCs w:val="21"/>
    </w:rPr>
  </w:style>
  <w:style w:type="character" w:customStyle="1" w:styleId="165">
    <w:name w:val="buvis1"/>
    <w:autoRedefine/>
    <w:qFormat/>
    <w:uiPriority w:val="0"/>
    <w:rPr>
      <w:color w:val="CC0000"/>
    </w:rPr>
  </w:style>
  <w:style w:type="character" w:customStyle="1" w:styleId="166">
    <w:name w:val="标题 2 Char11"/>
    <w:autoRedefine/>
    <w:qFormat/>
    <w:uiPriority w:val="0"/>
    <w:rPr>
      <w:rFonts w:eastAsia="宋体"/>
      <w:sz w:val="24"/>
      <w:lang w:val="en-US" w:eastAsia="zh-CN" w:bidi="ar-SA"/>
    </w:rPr>
  </w:style>
  <w:style w:type="character" w:customStyle="1" w:styleId="167">
    <w:name w:val="txt"/>
    <w:autoRedefine/>
    <w:qFormat/>
    <w:uiPriority w:val="0"/>
    <w:rPr>
      <w:color w:val="C0C0C0"/>
    </w:rPr>
  </w:style>
  <w:style w:type="character" w:customStyle="1" w:styleId="168">
    <w:name w:val="日期 字符"/>
    <w:link w:val="26"/>
    <w:autoRedefine/>
    <w:qFormat/>
    <w:uiPriority w:val="0"/>
    <w:rPr>
      <w:rFonts w:ascii="仿宋_GB2312" w:eastAsia="仿宋_GB2312"/>
      <w:kern w:val="2"/>
      <w:sz w:val="30"/>
      <w:lang w:val="en-US" w:eastAsia="zh-CN" w:bidi="ar-SA"/>
    </w:rPr>
  </w:style>
  <w:style w:type="character" w:customStyle="1" w:styleId="169">
    <w:name w:val="标题 2 Char1"/>
    <w:autoRedefine/>
    <w:qFormat/>
    <w:uiPriority w:val="0"/>
    <w:rPr>
      <w:rFonts w:ascii="Arial" w:hAnsi="Arial" w:eastAsia="黑体"/>
      <w:b/>
      <w:bCs/>
      <w:kern w:val="2"/>
      <w:sz w:val="32"/>
      <w:szCs w:val="32"/>
      <w:lang w:val="en-US" w:eastAsia="zh-CN" w:bidi="ar-SA"/>
    </w:rPr>
  </w:style>
  <w:style w:type="character" w:customStyle="1" w:styleId="170">
    <w:name w:val="正文首行缩进 2 字符"/>
    <w:link w:val="50"/>
    <w:autoRedefine/>
    <w:qFormat/>
    <w:uiPriority w:val="0"/>
  </w:style>
  <w:style w:type="character" w:customStyle="1" w:styleId="171">
    <w:name w:val="font31"/>
    <w:autoRedefine/>
    <w:qFormat/>
    <w:uiPriority w:val="0"/>
    <w:rPr>
      <w:rFonts w:hint="eastAsia" w:ascii="仿宋_GB2312" w:eastAsia="仿宋_GB2312" w:cs="仿宋_GB2312"/>
      <w:color w:val="000000"/>
      <w:sz w:val="28"/>
      <w:szCs w:val="28"/>
      <w:u w:val="single"/>
    </w:rPr>
  </w:style>
  <w:style w:type="character" w:customStyle="1" w:styleId="172">
    <w:name w:val="textcontents"/>
    <w:autoRedefine/>
    <w:qFormat/>
    <w:uiPriority w:val="0"/>
  </w:style>
  <w:style w:type="character" w:customStyle="1" w:styleId="173">
    <w:name w:val="文档结构图 字符"/>
    <w:link w:val="14"/>
    <w:autoRedefine/>
    <w:qFormat/>
    <w:uiPriority w:val="0"/>
    <w:rPr>
      <w:kern w:val="2"/>
      <w:sz w:val="21"/>
      <w:szCs w:val="24"/>
      <w:shd w:val="clear" w:color="auto" w:fill="000080"/>
    </w:rPr>
  </w:style>
  <w:style w:type="character" w:customStyle="1" w:styleId="174">
    <w:name w:val="zw"/>
    <w:autoRedefine/>
    <w:qFormat/>
    <w:uiPriority w:val="0"/>
    <w:rPr>
      <w:color w:val="BD1E22"/>
      <w:sz w:val="22"/>
      <w:szCs w:val="22"/>
    </w:rPr>
  </w:style>
  <w:style w:type="character" w:customStyle="1" w:styleId="175">
    <w:name w:val="txt1"/>
    <w:autoRedefine/>
    <w:qFormat/>
    <w:uiPriority w:val="0"/>
  </w:style>
  <w:style w:type="character" w:customStyle="1" w:styleId="176">
    <w:name w:val="tit11"/>
    <w:autoRedefine/>
    <w:qFormat/>
    <w:uiPriority w:val="0"/>
    <w:rPr>
      <w:color w:val="B60000"/>
    </w:rPr>
  </w:style>
  <w:style w:type="character" w:customStyle="1" w:styleId="177">
    <w:name w:val="num71"/>
    <w:autoRedefine/>
    <w:qFormat/>
    <w:uiPriority w:val="0"/>
  </w:style>
  <w:style w:type="character" w:customStyle="1" w:styleId="178">
    <w:name w:val="name2"/>
    <w:autoRedefine/>
    <w:qFormat/>
    <w:uiPriority w:val="0"/>
    <w:rPr>
      <w:color w:val="000000"/>
      <w:sz w:val="39"/>
      <w:szCs w:val="39"/>
    </w:rPr>
  </w:style>
  <w:style w:type="character" w:customStyle="1" w:styleId="179">
    <w:name w:val="c3"/>
    <w:autoRedefine/>
    <w:qFormat/>
    <w:uiPriority w:val="0"/>
  </w:style>
  <w:style w:type="character" w:customStyle="1" w:styleId="180">
    <w:name w:val="Char Char"/>
    <w:autoRedefine/>
    <w:qFormat/>
    <w:uiPriority w:val="0"/>
    <w:rPr>
      <w:rFonts w:ascii="Arial" w:hAnsi="Arial" w:eastAsia="黑体"/>
      <w:b/>
      <w:bCs/>
      <w:kern w:val="2"/>
      <w:sz w:val="32"/>
      <w:szCs w:val="32"/>
      <w:lang w:val="en-US" w:eastAsia="zh-CN" w:bidi="ar-SA"/>
    </w:rPr>
  </w:style>
  <w:style w:type="character" w:customStyle="1" w:styleId="181">
    <w:name w:val="num41"/>
    <w:autoRedefine/>
    <w:qFormat/>
    <w:uiPriority w:val="0"/>
  </w:style>
  <w:style w:type="character" w:customStyle="1" w:styleId="182">
    <w:name w:val="c1"/>
    <w:autoRedefine/>
    <w:qFormat/>
    <w:uiPriority w:val="0"/>
  </w:style>
  <w:style w:type="character" w:customStyle="1" w:styleId="183">
    <w:name w:val="c2"/>
    <w:autoRedefine/>
    <w:qFormat/>
    <w:uiPriority w:val="0"/>
  </w:style>
  <w:style w:type="character" w:customStyle="1" w:styleId="184">
    <w:name w:val="页眉 字符"/>
    <w:link w:val="30"/>
    <w:autoRedefine/>
    <w:qFormat/>
    <w:uiPriority w:val="0"/>
    <w:rPr>
      <w:kern w:val="2"/>
      <w:sz w:val="18"/>
      <w:szCs w:val="18"/>
    </w:rPr>
  </w:style>
  <w:style w:type="character" w:customStyle="1" w:styleId="185">
    <w:name w:val="Char Char4"/>
    <w:autoRedefine/>
    <w:qFormat/>
    <w:uiPriority w:val="0"/>
    <w:rPr>
      <w:rFonts w:eastAsia="宋体"/>
      <w:b/>
      <w:bCs/>
      <w:kern w:val="44"/>
      <w:sz w:val="44"/>
      <w:szCs w:val="44"/>
      <w:lang w:val="en-US" w:eastAsia="zh-CN" w:bidi="ar-SA"/>
    </w:rPr>
  </w:style>
  <w:style w:type="character" w:customStyle="1" w:styleId="186">
    <w:name w:val="tit9"/>
    <w:autoRedefine/>
    <w:qFormat/>
    <w:uiPriority w:val="0"/>
    <w:rPr>
      <w:color w:val="B60000"/>
      <w:sz w:val="27"/>
      <w:szCs w:val="27"/>
      <w:bdr w:val="single" w:color="DFCEB8" w:sz="6" w:space="0"/>
      <w:shd w:val="clear" w:color="auto" w:fill="FFFFFF"/>
    </w:rPr>
  </w:style>
  <w:style w:type="character" w:customStyle="1" w:styleId="187">
    <w:name w:val="Char Char3"/>
    <w:autoRedefine/>
    <w:qFormat/>
    <w:uiPriority w:val="0"/>
    <w:rPr>
      <w:rFonts w:ascii="Arial" w:hAnsi="Arial" w:eastAsia="黑体"/>
      <w:b/>
      <w:bCs/>
      <w:kern w:val="2"/>
      <w:sz w:val="32"/>
      <w:szCs w:val="32"/>
      <w:lang w:val="en-US" w:eastAsia="zh-CN" w:bidi="ar-SA"/>
    </w:rPr>
  </w:style>
  <w:style w:type="paragraph" w:customStyle="1" w:styleId="188">
    <w:name w:val="首行缩进"/>
    <w:basedOn w:val="1"/>
    <w:next w:val="20"/>
    <w:autoRedefine/>
    <w:qFormat/>
    <w:uiPriority w:val="0"/>
    <w:pPr>
      <w:spacing w:line="360" w:lineRule="auto"/>
      <w:ind w:firstLine="480" w:firstLineChars="200"/>
    </w:pPr>
    <w:rPr>
      <w:sz w:val="24"/>
      <w:lang w:val="zh-CN"/>
    </w:rPr>
  </w:style>
  <w:style w:type="paragraph" w:customStyle="1" w:styleId="189">
    <w:name w:val="正文文本缩进1"/>
    <w:basedOn w:val="1"/>
    <w:autoRedefine/>
    <w:qFormat/>
    <w:uiPriority w:val="0"/>
    <w:pPr>
      <w:spacing w:after="120"/>
      <w:ind w:left="420" w:leftChars="200"/>
    </w:pPr>
    <w:rPr>
      <w:color w:val="000000"/>
      <w:kern w:val="0"/>
      <w:szCs w:val="20"/>
      <w:u w:color="000000"/>
    </w:rPr>
  </w:style>
  <w:style w:type="paragraph" w:customStyle="1" w:styleId="190">
    <w:name w:val="Char Char Char Char"/>
    <w:basedOn w:val="1"/>
    <w:autoRedefine/>
    <w:qFormat/>
    <w:uiPriority w:val="0"/>
    <w:rPr>
      <w:rFonts w:ascii="Tahoma" w:hAnsi="Tahoma"/>
      <w:sz w:val="24"/>
      <w:szCs w:val="20"/>
    </w:rPr>
  </w:style>
  <w:style w:type="paragraph" w:customStyle="1" w:styleId="191">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92">
    <w:name w:val="p"/>
    <w:basedOn w:val="1"/>
    <w:autoRedefine/>
    <w:qFormat/>
    <w:uiPriority w:val="0"/>
    <w:rPr>
      <w:rFonts w:ascii="宋体"/>
      <w:sz w:val="24"/>
    </w:rPr>
  </w:style>
  <w:style w:type="paragraph" w:customStyle="1" w:styleId="193">
    <w:name w:val="正文文本首行缩进 21"/>
    <w:basedOn w:val="189"/>
    <w:autoRedefine/>
    <w:qFormat/>
    <w:uiPriority w:val="0"/>
    <w:pPr>
      <w:ind w:firstLine="420" w:firstLineChars="200"/>
    </w:pPr>
  </w:style>
  <w:style w:type="paragraph" w:customStyle="1" w:styleId="194">
    <w:name w:val="表格"/>
    <w:basedOn w:val="1"/>
    <w:autoRedefine/>
    <w:qFormat/>
    <w:uiPriority w:val="0"/>
    <w:pPr>
      <w:jc w:val="center"/>
      <w:textAlignment w:val="center"/>
    </w:pPr>
    <w:rPr>
      <w:rFonts w:ascii="华文细黑" w:hAnsi="华文细黑"/>
      <w:kern w:val="0"/>
      <w:szCs w:val="20"/>
    </w:rPr>
  </w:style>
  <w:style w:type="paragraph" w:customStyle="1" w:styleId="195">
    <w:name w:val="Other|1"/>
    <w:basedOn w:val="1"/>
    <w:autoRedefine/>
    <w:qFormat/>
    <w:uiPriority w:val="0"/>
    <w:rPr>
      <w:rFonts w:ascii="宋体" w:hAnsi="宋体" w:cs="宋体"/>
      <w:sz w:val="20"/>
      <w:szCs w:val="20"/>
      <w:lang w:val="zh-TW" w:eastAsia="zh-TW" w:bidi="zh-TW"/>
    </w:rPr>
  </w:style>
  <w:style w:type="paragraph" w:customStyle="1" w:styleId="196">
    <w:name w:val="Table caption|1"/>
    <w:basedOn w:val="1"/>
    <w:autoRedefine/>
    <w:qFormat/>
    <w:uiPriority w:val="0"/>
    <w:rPr>
      <w:rFonts w:ascii="宋体" w:hAnsi="宋体" w:cs="宋体"/>
      <w:sz w:val="20"/>
      <w:szCs w:val="20"/>
      <w:lang w:val="zh-TW" w:eastAsia="zh-TW" w:bidi="zh-TW"/>
    </w:rPr>
  </w:style>
  <w:style w:type="paragraph" w:customStyle="1" w:styleId="197">
    <w:name w:val="p15"/>
    <w:autoRedefine/>
    <w:qFormat/>
    <w:uiPriority w:val="0"/>
    <w:pPr>
      <w:jc w:val="both"/>
    </w:pPr>
    <w:rPr>
      <w:rFonts w:ascii="宋体" w:hAnsi="Calibri" w:eastAsia="宋体" w:cs="宋体"/>
      <w:sz w:val="21"/>
      <w:szCs w:val="21"/>
      <w:lang w:val="en-US" w:eastAsia="zh-CN" w:bidi="ar-SA"/>
    </w:rPr>
  </w:style>
  <w:style w:type="paragraph" w:customStyle="1" w:styleId="198">
    <w:name w:val="Default Paragraph Char Char Char Char"/>
    <w:basedOn w:val="1"/>
    <w:next w:val="1"/>
    <w:autoRedefine/>
    <w:qFormat/>
    <w:uiPriority w:val="0"/>
    <w:pPr>
      <w:spacing w:line="360" w:lineRule="auto"/>
    </w:pPr>
    <w:rPr>
      <w:rFonts w:ascii="Calibri" w:hAnsi="Calibri"/>
      <w:szCs w:val="20"/>
    </w:rPr>
  </w:style>
  <w:style w:type="paragraph" w:customStyle="1" w:styleId="199">
    <w:name w:val="样式1"/>
    <w:basedOn w:val="5"/>
    <w:autoRedefine/>
    <w:qFormat/>
    <w:uiPriority w:val="0"/>
    <w:pPr>
      <w:spacing w:line="415" w:lineRule="auto"/>
    </w:pPr>
    <w:rPr>
      <w:rFonts w:eastAsia="Arial"/>
    </w:rPr>
  </w:style>
  <w:style w:type="paragraph" w:customStyle="1" w:styleId="200">
    <w:name w:val="表格文字"/>
    <w:basedOn w:val="1"/>
    <w:autoRedefine/>
    <w:qFormat/>
    <w:uiPriority w:val="0"/>
    <w:pPr>
      <w:adjustRightInd w:val="0"/>
      <w:spacing w:line="420" w:lineRule="atLeast"/>
      <w:jc w:val="left"/>
      <w:textAlignment w:val="baseline"/>
    </w:pPr>
    <w:rPr>
      <w:kern w:val="0"/>
      <w:szCs w:val="20"/>
    </w:rPr>
  </w:style>
  <w:style w:type="paragraph" w:customStyle="1" w:styleId="201">
    <w:name w:val="列表段落1"/>
    <w:basedOn w:val="1"/>
    <w:autoRedefine/>
    <w:qFormat/>
    <w:uiPriority w:val="34"/>
    <w:pPr>
      <w:ind w:firstLine="200" w:firstLineChars="200"/>
    </w:pPr>
  </w:style>
  <w:style w:type="paragraph" w:customStyle="1" w:styleId="202">
    <w:name w:val="正文1"/>
    <w:autoRedefine/>
    <w:qFormat/>
    <w:uiPriority w:val="0"/>
    <w:pPr>
      <w:widowControl w:val="0"/>
      <w:adjustRightInd w:val="0"/>
      <w:spacing w:line="312" w:lineRule="atLeast"/>
      <w:jc w:val="both"/>
      <w:textAlignment w:val="baseline"/>
    </w:pPr>
    <w:rPr>
      <w:rFonts w:ascii="宋体" w:hAnsi="Calibri" w:eastAsia="宋体" w:cs="宋体"/>
      <w:sz w:val="24"/>
      <w:szCs w:val="24"/>
      <w:lang w:val="en-US" w:eastAsia="zh-CN" w:bidi="ar-SA"/>
    </w:rPr>
  </w:style>
  <w:style w:type="paragraph" w:customStyle="1" w:styleId="203">
    <w:name w:val="Char1 Char Char Char Char Char Char Char Char Char Char Char Char1 Char Char Char Char Char1 Char Char Char Char Char Char Char Char Char1 Char"/>
    <w:basedOn w:val="1"/>
    <w:autoRedefine/>
    <w:qFormat/>
    <w:uiPriority w:val="0"/>
    <w:pPr>
      <w:widowControl/>
      <w:spacing w:after="160" w:line="240" w:lineRule="exact"/>
      <w:ind w:firstLine="560" w:firstLineChars="200"/>
      <w:jc w:val="left"/>
    </w:pPr>
    <w:rPr>
      <w:rFonts w:ascii="宋体" w:hAnsi="宋体"/>
      <w:kern w:val="0"/>
      <w:sz w:val="28"/>
      <w:szCs w:val="28"/>
      <w:lang w:eastAsia="en-US"/>
    </w:rPr>
  </w:style>
  <w:style w:type="paragraph" w:customStyle="1" w:styleId="204">
    <w:name w:val="Char"/>
    <w:basedOn w:val="1"/>
    <w:next w:val="1"/>
    <w:autoRedefine/>
    <w:qFormat/>
    <w:uiPriority w:val="0"/>
    <w:pPr>
      <w:widowControl/>
      <w:spacing w:line="360" w:lineRule="auto"/>
      <w:jc w:val="left"/>
    </w:pPr>
    <w:rPr>
      <w:kern w:val="0"/>
      <w:szCs w:val="20"/>
      <w:lang w:eastAsia="en-US"/>
    </w:rPr>
  </w:style>
  <w:style w:type="paragraph" w:customStyle="1" w:styleId="205">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6">
    <w:name w:val="Char1"/>
    <w:basedOn w:val="1"/>
    <w:next w:val="1"/>
    <w:autoRedefine/>
    <w:qFormat/>
    <w:uiPriority w:val="0"/>
    <w:pPr>
      <w:widowControl/>
      <w:spacing w:line="360" w:lineRule="auto"/>
      <w:jc w:val="left"/>
    </w:pPr>
    <w:rPr>
      <w:kern w:val="0"/>
      <w:szCs w:val="20"/>
      <w:lang w:eastAsia="en-US"/>
    </w:rPr>
  </w:style>
  <w:style w:type="paragraph" w:customStyle="1" w:styleId="207">
    <w:name w:val="样式3"/>
    <w:basedOn w:val="5"/>
    <w:autoRedefine/>
    <w:qFormat/>
    <w:uiPriority w:val="0"/>
    <w:pPr>
      <w:spacing w:line="415" w:lineRule="auto"/>
    </w:pPr>
    <w:rPr>
      <w:rFonts w:eastAsia="Arial"/>
    </w:rPr>
  </w:style>
  <w:style w:type="paragraph" w:customStyle="1" w:styleId="208">
    <w:name w:val="Table Paragraph"/>
    <w:basedOn w:val="1"/>
    <w:autoRedefine/>
    <w:qFormat/>
    <w:uiPriority w:val="1"/>
    <w:rPr>
      <w:rFonts w:ascii="宋体" w:hAnsi="宋体" w:cs="宋体"/>
      <w:lang w:val="zh-CN" w:bidi="zh-CN"/>
    </w:rPr>
  </w:style>
  <w:style w:type="paragraph" w:customStyle="1" w:styleId="209">
    <w:name w:val="p0"/>
    <w:basedOn w:val="1"/>
    <w:autoRedefine/>
    <w:qFormat/>
    <w:uiPriority w:val="0"/>
    <w:pPr>
      <w:widowControl/>
      <w:jc w:val="left"/>
    </w:pPr>
    <w:rPr>
      <w:rFonts w:ascii="宋体" w:hAnsi="宋体" w:cs="宋体"/>
      <w:kern w:val="0"/>
      <w:sz w:val="18"/>
      <w:szCs w:val="18"/>
    </w:rPr>
  </w:style>
  <w:style w:type="paragraph" w:customStyle="1" w:styleId="210">
    <w:name w:val="WPSOffice手动目录 1"/>
    <w:autoRedefine/>
    <w:qFormat/>
    <w:uiPriority w:val="0"/>
    <w:rPr>
      <w:rFonts w:ascii="Times New Roman" w:hAnsi="Times New Roman" w:eastAsia="宋体" w:cs="Times New Roman"/>
      <w:lang w:val="en-US" w:eastAsia="zh-CN" w:bidi="ar-SA"/>
    </w:rPr>
  </w:style>
  <w:style w:type="paragraph" w:customStyle="1" w:styleId="211">
    <w:name w:val="Char4"/>
    <w:basedOn w:val="1"/>
    <w:autoRedefine/>
    <w:qFormat/>
    <w:uiPriority w:val="0"/>
    <w:pPr>
      <w:widowControl/>
      <w:spacing w:line="360" w:lineRule="auto"/>
      <w:ind w:firstLine="200" w:firstLineChars="200"/>
      <w:textAlignment w:val="baseline"/>
    </w:pPr>
    <w:rPr>
      <w:rFonts w:ascii="Calibri" w:hAnsi="Calibri"/>
      <w:color w:val="000000"/>
      <w:kern w:val="0"/>
      <w:szCs w:val="20"/>
      <w:u w:color="000000"/>
    </w:rPr>
  </w:style>
  <w:style w:type="paragraph" w:customStyle="1" w:styleId="212">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213">
    <w:name w:val="样式2"/>
    <w:basedOn w:val="5"/>
    <w:autoRedefine/>
    <w:qFormat/>
    <w:uiPriority w:val="0"/>
    <w:pPr>
      <w:spacing w:line="415" w:lineRule="auto"/>
    </w:pPr>
  </w:style>
  <w:style w:type="paragraph" w:customStyle="1" w:styleId="214">
    <w:name w:val="Picture caption|1"/>
    <w:basedOn w:val="1"/>
    <w:autoRedefine/>
    <w:qFormat/>
    <w:uiPriority w:val="0"/>
    <w:rPr>
      <w:rFonts w:ascii="宋体" w:hAnsi="宋体" w:cs="宋体"/>
      <w:sz w:val="20"/>
      <w:szCs w:val="20"/>
      <w:lang w:val="zh-TW" w:eastAsia="zh-TW" w:bidi="zh-TW"/>
    </w:rPr>
  </w:style>
  <w:style w:type="paragraph" w:customStyle="1" w:styleId="215">
    <w:name w:val="样式 标题 1 + 黑体 三号 非加粗 居中 段前: 6 磅 段后: 6 磅 行距: 固定值 20 磅"/>
    <w:basedOn w:val="2"/>
    <w:autoRedefine/>
    <w:qFormat/>
    <w:uiPriority w:val="0"/>
    <w:pPr>
      <w:spacing w:before="120" w:after="120" w:line="400" w:lineRule="exact"/>
    </w:pPr>
    <w:rPr>
      <w:rFonts w:ascii="黑体" w:hAnsi="黑体" w:eastAsia="黑体" w:cs="宋体"/>
      <w:b w:val="0"/>
      <w:bCs w:val="0"/>
      <w:sz w:val="32"/>
      <w:szCs w:val="20"/>
    </w:rPr>
  </w:style>
  <w:style w:type="paragraph" w:customStyle="1" w:styleId="216">
    <w:name w:val="样式4"/>
    <w:basedOn w:val="5"/>
    <w:autoRedefine/>
    <w:qFormat/>
    <w:uiPriority w:val="0"/>
    <w:pPr>
      <w:spacing w:line="415" w:lineRule="auto"/>
    </w:pPr>
    <w:rPr>
      <w:rFonts w:eastAsia="Arial"/>
    </w:rPr>
  </w:style>
  <w:style w:type="paragraph" w:customStyle="1" w:styleId="217">
    <w:name w:val="p0 New"/>
    <w:basedOn w:val="1"/>
    <w:autoRedefine/>
    <w:qFormat/>
    <w:uiPriority w:val="0"/>
    <w:pPr>
      <w:widowControl/>
      <w:jc w:val="left"/>
    </w:pPr>
    <w:rPr>
      <w:rFonts w:ascii="宋体" w:hAnsi="Calibri" w:cs="宋体"/>
      <w:kern w:val="0"/>
      <w:sz w:val="18"/>
      <w:szCs w:val="18"/>
    </w:rPr>
  </w:style>
  <w:style w:type="paragraph" w:customStyle="1" w:styleId="218">
    <w:name w:val="Char Char6"/>
    <w:basedOn w:val="1"/>
    <w:autoRedefine/>
    <w:qFormat/>
    <w:uiPriority w:val="0"/>
    <w:pPr>
      <w:widowControl/>
      <w:spacing w:after="160" w:line="240" w:lineRule="exact"/>
      <w:jc w:val="left"/>
    </w:pPr>
  </w:style>
  <w:style w:type="paragraph" w:customStyle="1" w:styleId="219">
    <w:name w:val="列出段落1"/>
    <w:basedOn w:val="1"/>
    <w:autoRedefine/>
    <w:qFormat/>
    <w:uiPriority w:val="0"/>
    <w:pPr>
      <w:ind w:firstLine="200" w:firstLineChars="200"/>
    </w:pPr>
    <w:rPr>
      <w:rFonts w:ascii="Calibri" w:hAnsi="Calibri"/>
    </w:rPr>
  </w:style>
  <w:style w:type="paragraph" w:customStyle="1" w:styleId="220">
    <w:name w:val="1"/>
    <w:basedOn w:val="1"/>
    <w:next w:val="1"/>
    <w:autoRedefine/>
    <w:qFormat/>
    <w:uiPriority w:val="0"/>
  </w:style>
  <w:style w:type="paragraph" w:customStyle="1" w:styleId="221">
    <w:name w:val="Body text|2"/>
    <w:basedOn w:val="1"/>
    <w:autoRedefine/>
    <w:qFormat/>
    <w:uiPriority w:val="0"/>
    <w:pPr>
      <w:spacing w:before="3540" w:line="634" w:lineRule="exact"/>
      <w:ind w:left="2920" w:hanging="790"/>
    </w:pPr>
    <w:rPr>
      <w:rFonts w:ascii="宋体" w:hAnsi="宋体" w:cs="宋体"/>
      <w:sz w:val="30"/>
      <w:szCs w:val="30"/>
      <w:u w:val="single"/>
      <w:lang w:val="zh-TW" w:eastAsia="zh-TW" w:bidi="zh-TW"/>
    </w:rPr>
  </w:style>
  <w:style w:type="paragraph" w:customStyle="1" w:styleId="222">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223">
    <w:name w:val="Body text|1"/>
    <w:basedOn w:val="1"/>
    <w:autoRedefine/>
    <w:qFormat/>
    <w:uiPriority w:val="0"/>
    <w:pPr>
      <w:spacing w:line="468" w:lineRule="auto"/>
      <w:ind w:firstLine="400"/>
    </w:pPr>
    <w:rPr>
      <w:rFonts w:ascii="宋体" w:hAnsi="宋体" w:cs="宋体"/>
      <w:sz w:val="20"/>
      <w:szCs w:val="20"/>
      <w:lang w:val="zh-TW" w:eastAsia="zh-TW" w:bidi="zh-TW"/>
    </w:rPr>
  </w:style>
  <w:style w:type="paragraph" w:customStyle="1" w:styleId="224">
    <w:name w:val="节标题"/>
    <w:basedOn w:val="1"/>
    <w:next w:val="1"/>
    <w:autoRedefine/>
    <w:qFormat/>
    <w:uiPriority w:val="0"/>
    <w:pPr>
      <w:widowControl/>
      <w:spacing w:line="289" w:lineRule="atLeast"/>
      <w:jc w:val="center"/>
      <w:textAlignment w:val="baseline"/>
    </w:pPr>
    <w:rPr>
      <w:color w:val="000000"/>
      <w:kern w:val="0"/>
      <w:sz w:val="28"/>
      <w:szCs w:val="20"/>
      <w:u w:color="000000"/>
    </w:rPr>
  </w:style>
  <w:style w:type="paragraph" w:styleId="225">
    <w:name w:val="List Paragraph"/>
    <w:basedOn w:val="1"/>
    <w:autoRedefine/>
    <w:qFormat/>
    <w:uiPriority w:val="0"/>
    <w:pPr>
      <w:ind w:firstLine="200" w:firstLineChars="200"/>
    </w:pPr>
    <w:rPr>
      <w:rFonts w:ascii="Calibri" w:hAnsi="Calibri"/>
      <w:szCs w:val="22"/>
    </w:rPr>
  </w:style>
  <w:style w:type="paragraph" w:customStyle="1" w:styleId="226">
    <w:name w:val="默认段落字体 Para Char Char Char Char"/>
    <w:basedOn w:val="1"/>
    <w:autoRedefine/>
    <w:qFormat/>
    <w:uiPriority w:val="0"/>
  </w:style>
  <w:style w:type="paragraph" w:customStyle="1" w:styleId="227">
    <w:name w:val="正文2"/>
    <w:autoRedefine/>
    <w:qFormat/>
    <w:uiPriority w:val="0"/>
    <w:pPr>
      <w:widowControl w:val="0"/>
      <w:jc w:val="both"/>
    </w:pPr>
    <w:rPr>
      <w:rFonts w:ascii="Calibri" w:hAnsi="Calibri" w:eastAsia="宋体" w:cs="Times New Roman"/>
      <w:lang w:val="en-US" w:eastAsia="zh-CN" w:bidi="ar-SA"/>
    </w:rPr>
  </w:style>
  <w:style w:type="paragraph" w:customStyle="1" w:styleId="228">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229">
    <w:name w:val="Char Char Char Char Char Char Char Char Char Char Char Char Char"/>
    <w:basedOn w:val="1"/>
    <w:autoRedefine/>
    <w:qFormat/>
    <w:uiPriority w:val="0"/>
    <w:rPr>
      <w:rFonts w:ascii="Calibri" w:hAnsi="Calibri"/>
    </w:rPr>
  </w:style>
  <w:style w:type="paragraph" w:customStyle="1" w:styleId="230">
    <w:name w:val="样式 标题 3 + (中文) 黑体 小四 非加粗 段前: 7.8 磅 段后: 0 磅 行距: 固定值 20 磅"/>
    <w:basedOn w:val="5"/>
    <w:autoRedefine/>
    <w:qFormat/>
    <w:uiPriority w:val="0"/>
    <w:pPr>
      <w:spacing w:before="0" w:after="0" w:line="400" w:lineRule="exact"/>
    </w:pPr>
    <w:rPr>
      <w:rFonts w:eastAsia="黑体" w:cs="宋体"/>
      <w:b w:val="0"/>
      <w:bCs w:val="0"/>
      <w:sz w:val="24"/>
      <w:szCs w:val="20"/>
    </w:rPr>
  </w:style>
  <w:style w:type="paragraph" w:customStyle="1" w:styleId="231">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customStyle="1" w:styleId="232">
    <w:name w:val="Char Char Char Char Char Char Char Char Char Char Char Char Char1"/>
    <w:basedOn w:val="1"/>
    <w:autoRedefine/>
    <w:qFormat/>
    <w:uiPriority w:val="0"/>
  </w:style>
  <w:style w:type="character" w:customStyle="1" w:styleId="233">
    <w:name w:val="未处理的提及1"/>
    <w:basedOn w:val="53"/>
    <w:autoRedefine/>
    <w:semiHidden/>
    <w:unhideWhenUsed/>
    <w:qFormat/>
    <w:uiPriority w:val="99"/>
    <w:rPr>
      <w:color w:val="605E5C"/>
      <w:shd w:val="clear" w:color="auto" w:fill="E1DFDD"/>
    </w:rPr>
  </w:style>
  <w:style w:type="character" w:customStyle="1" w:styleId="234">
    <w:name w:val="NormalCharacter"/>
    <w:autoRedefine/>
    <w:semiHidden/>
    <w:qFormat/>
    <w:uiPriority w:val="0"/>
  </w:style>
  <w:style w:type="table" w:customStyle="1" w:styleId="235">
    <w:name w:val="Table Normal"/>
    <w:autoRedefine/>
    <w:semiHidden/>
    <w:unhideWhenUsed/>
    <w:qFormat/>
    <w:uiPriority w:val="0"/>
    <w:tblPr>
      <w:tblCellMar>
        <w:top w:w="0" w:type="dxa"/>
        <w:left w:w="0" w:type="dxa"/>
        <w:bottom w:w="0" w:type="dxa"/>
        <w:right w:w="0" w:type="dxa"/>
      </w:tblCellMar>
    </w:tblPr>
  </w:style>
  <w:style w:type="table" w:customStyle="1" w:styleId="236">
    <w:name w:val="网格型1"/>
    <w:basedOn w:val="51"/>
    <w:autoRedefine/>
    <w:qFormat/>
    <w:uiPriority w:val="39"/>
    <w:rPr>
      <w:rFonts w:ascii="等线" w:hAnsi="等线" w:eastAsia="等线"/>
      <w:kern w:val="2"/>
      <w:sz w:val="21"/>
      <w:szCs w:val="2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7">
    <w:name w:val="text-tag1"/>
    <w:basedOn w:val="1"/>
    <w:autoRedefine/>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C2DBD6-FDE9-45F9-9322-47695EF4DCF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45</Pages>
  <Words>4102</Words>
  <Characters>23383</Characters>
  <Lines>194</Lines>
  <Paragraphs>54</Paragraphs>
  <TotalTime>3</TotalTime>
  <ScaleCrop>false</ScaleCrop>
  <LinksUpToDate>false</LinksUpToDate>
  <CharactersWithSpaces>27431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2021-07-21T07:39:00Z</dcterms:created>
  <dc:creator>微软用户</dc:creator>
  <cp:lastModifiedBy>灰灰菇凉</cp:lastModifiedBy>
  <cp:lastPrinted>2022-01-03T08:24:00Z</cp:lastPrinted>
  <dcterms:modified xsi:type="dcterms:W3CDTF">2024-03-08T03:21:21Z</dcterms:modified>
  <dc:title>花亭路等道路绿化工程苗木比价采购</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A0542AC54B284A128018BEC396099E97_13</vt:lpwstr>
  </property>
</Properties>
</file>