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97" w:rsidRDefault="006B7A97">
      <w:pPr>
        <w:rPr>
          <w:rFonts w:ascii="仿宋_GB2312" w:eastAsia="仿宋_GB2312" w:hAnsi="微软雅黑" w:cs="宋体"/>
          <w:color w:val="FF0000"/>
          <w:kern w:val="0"/>
          <w:sz w:val="24"/>
          <w:szCs w:val="24"/>
        </w:rPr>
      </w:pPr>
    </w:p>
    <w:tbl>
      <w:tblPr>
        <w:tblStyle w:val="af1"/>
        <w:tblpPr w:leftFromText="180" w:rightFromText="180" w:vertAnchor="text" w:horzAnchor="margin" w:tblpY="65"/>
        <w:tblOverlap w:val="never"/>
        <w:tblW w:w="9114" w:type="dxa"/>
        <w:tblLayout w:type="fixed"/>
        <w:tblLook w:val="04A0" w:firstRow="1" w:lastRow="0" w:firstColumn="1" w:lastColumn="0" w:noHBand="0" w:noVBand="1"/>
      </w:tblPr>
      <w:tblGrid>
        <w:gridCol w:w="1403"/>
        <w:gridCol w:w="1131"/>
        <w:gridCol w:w="5903"/>
        <w:gridCol w:w="677"/>
      </w:tblGrid>
      <w:tr w:rsidR="006B7A97">
        <w:trPr>
          <w:trHeight w:val="406"/>
        </w:trPr>
        <w:tc>
          <w:tcPr>
            <w:tcW w:w="1403" w:type="dxa"/>
            <w:vAlign w:val="center"/>
          </w:tcPr>
          <w:p w:rsidR="006B7A97" w:rsidRDefault="0097557C">
            <w:pPr>
              <w:widowControl/>
              <w:spacing w:line="360" w:lineRule="exact"/>
              <w:jc w:val="center"/>
              <w:rPr>
                <w:kern w:val="0"/>
                <w:sz w:val="16"/>
                <w:szCs w:val="20"/>
              </w:rPr>
            </w:pPr>
            <w:r>
              <w:rPr>
                <w:rFonts w:ascii="宋体" w:eastAsia="宋体" w:hAnsi="宋体" w:cs="宋体" w:hint="eastAsia"/>
                <w:b/>
                <w:bCs/>
                <w:color w:val="000000"/>
                <w:kern w:val="0"/>
                <w:szCs w:val="24"/>
                <w:lang w:bidi="ar"/>
              </w:rPr>
              <w:t>评价指标</w:t>
            </w:r>
          </w:p>
        </w:tc>
        <w:tc>
          <w:tcPr>
            <w:tcW w:w="1131" w:type="dxa"/>
            <w:vAlign w:val="center"/>
          </w:tcPr>
          <w:p w:rsidR="006B7A97" w:rsidRDefault="0097557C">
            <w:pPr>
              <w:widowControl/>
              <w:spacing w:line="360" w:lineRule="exact"/>
              <w:jc w:val="center"/>
              <w:rPr>
                <w:kern w:val="0"/>
                <w:sz w:val="16"/>
                <w:szCs w:val="20"/>
              </w:rPr>
            </w:pPr>
            <w:r>
              <w:rPr>
                <w:rFonts w:ascii="宋体" w:eastAsia="宋体" w:hAnsi="宋体" w:cs="宋体" w:hint="eastAsia"/>
                <w:b/>
                <w:bCs/>
                <w:color w:val="000000"/>
                <w:kern w:val="0"/>
                <w:szCs w:val="24"/>
                <w:lang w:bidi="ar"/>
              </w:rPr>
              <w:t>评分项目</w:t>
            </w:r>
          </w:p>
        </w:tc>
        <w:tc>
          <w:tcPr>
            <w:tcW w:w="5903" w:type="dxa"/>
            <w:vAlign w:val="center"/>
          </w:tcPr>
          <w:p w:rsidR="006B7A97" w:rsidRDefault="0097557C">
            <w:pPr>
              <w:widowControl/>
              <w:spacing w:line="360" w:lineRule="exact"/>
              <w:jc w:val="center"/>
              <w:rPr>
                <w:kern w:val="0"/>
                <w:sz w:val="16"/>
                <w:szCs w:val="20"/>
              </w:rPr>
            </w:pPr>
            <w:r>
              <w:rPr>
                <w:rFonts w:ascii="宋体" w:eastAsia="宋体" w:hAnsi="宋体" w:cs="宋体" w:hint="eastAsia"/>
                <w:b/>
                <w:bCs/>
                <w:color w:val="000000"/>
                <w:kern w:val="0"/>
                <w:szCs w:val="24"/>
                <w:lang w:bidi="ar"/>
              </w:rPr>
              <w:t>评分标准</w:t>
            </w:r>
          </w:p>
        </w:tc>
        <w:tc>
          <w:tcPr>
            <w:tcW w:w="677" w:type="dxa"/>
            <w:vAlign w:val="center"/>
          </w:tcPr>
          <w:p w:rsidR="006B7A97" w:rsidRDefault="0097557C">
            <w:pPr>
              <w:widowControl/>
              <w:spacing w:line="360" w:lineRule="exact"/>
              <w:jc w:val="center"/>
              <w:rPr>
                <w:kern w:val="0"/>
                <w:sz w:val="16"/>
                <w:szCs w:val="20"/>
              </w:rPr>
            </w:pPr>
            <w:r>
              <w:rPr>
                <w:rFonts w:ascii="宋体" w:eastAsia="宋体" w:hAnsi="宋体" w:cs="宋体" w:hint="eastAsia"/>
                <w:b/>
                <w:bCs/>
                <w:color w:val="000000"/>
                <w:kern w:val="0"/>
                <w:szCs w:val="24"/>
                <w:lang w:bidi="ar"/>
              </w:rPr>
              <w:t>分值</w:t>
            </w:r>
          </w:p>
        </w:tc>
      </w:tr>
      <w:tr w:rsidR="006B7A97">
        <w:trPr>
          <w:trHeight w:val="2036"/>
        </w:trPr>
        <w:tc>
          <w:tcPr>
            <w:tcW w:w="1403" w:type="dxa"/>
            <w:vMerge w:val="restart"/>
            <w:vAlign w:val="center"/>
          </w:tcPr>
          <w:p w:rsidR="006B7A97" w:rsidRDefault="0097557C">
            <w:pPr>
              <w:widowControl/>
              <w:spacing w:line="360" w:lineRule="exact"/>
              <w:jc w:val="center"/>
              <w:rPr>
                <w:rFonts w:ascii="宋体" w:eastAsia="宋体" w:hAnsi="宋体" w:cs="宋体"/>
                <w:color w:val="000000"/>
                <w:kern w:val="0"/>
                <w:sz w:val="20"/>
                <w:szCs w:val="24"/>
                <w:lang w:bidi="ar"/>
              </w:rPr>
            </w:pPr>
            <w:r>
              <w:rPr>
                <w:rFonts w:ascii="宋体" w:eastAsia="宋体" w:hAnsi="宋体" w:cs="宋体" w:hint="eastAsia"/>
                <w:color w:val="000000"/>
                <w:kern w:val="0"/>
                <w:sz w:val="20"/>
                <w:szCs w:val="24"/>
                <w:lang w:bidi="ar"/>
              </w:rPr>
              <w:t>资信部分</w:t>
            </w:r>
          </w:p>
        </w:tc>
        <w:tc>
          <w:tcPr>
            <w:tcW w:w="1131" w:type="dxa"/>
            <w:vAlign w:val="center"/>
          </w:tcPr>
          <w:p w:rsidR="006B7A97" w:rsidRDefault="0097557C">
            <w:pPr>
              <w:pStyle w:val="TableParagraph"/>
              <w:spacing w:line="360" w:lineRule="exact"/>
              <w:jc w:val="center"/>
              <w:rPr>
                <w:kern w:val="0"/>
                <w:sz w:val="20"/>
                <w:szCs w:val="20"/>
              </w:rPr>
            </w:pPr>
            <w:r>
              <w:rPr>
                <w:rFonts w:hint="eastAsia"/>
                <w:kern w:val="0"/>
                <w:sz w:val="20"/>
                <w:szCs w:val="20"/>
              </w:rPr>
              <w:t>投标人实力</w:t>
            </w:r>
          </w:p>
        </w:tc>
        <w:tc>
          <w:tcPr>
            <w:tcW w:w="5903" w:type="dxa"/>
            <w:vAlign w:val="center"/>
          </w:tcPr>
          <w:p w:rsidR="006B7A97" w:rsidRDefault="0097557C">
            <w:pPr>
              <w:pStyle w:val="TableParagraph"/>
              <w:spacing w:line="360" w:lineRule="exact"/>
              <w:jc w:val="left"/>
              <w:rPr>
                <w:kern w:val="0"/>
                <w:sz w:val="20"/>
                <w:szCs w:val="20"/>
                <w:lang w:val="en-US"/>
              </w:rPr>
            </w:pPr>
            <w:r>
              <w:rPr>
                <w:rFonts w:hint="eastAsia"/>
                <w:kern w:val="0"/>
                <w:sz w:val="20"/>
                <w:szCs w:val="20"/>
                <w:lang w:val="en-US"/>
              </w:rPr>
              <w:t>经滁州市公共资源交易中心统计，完成过代理项目数量大于或等于60个的得10分；40（含）-60个之间的得6分，10（含）-40个之间的得2分,1（含）-10个之间的得1分，没有的不得分。</w:t>
            </w:r>
          </w:p>
          <w:p w:rsidR="006B7A97" w:rsidRDefault="0097557C">
            <w:pPr>
              <w:pStyle w:val="TableParagraph"/>
              <w:spacing w:line="360" w:lineRule="exact"/>
              <w:jc w:val="left"/>
              <w:rPr>
                <w:kern w:val="0"/>
                <w:sz w:val="20"/>
                <w:szCs w:val="20"/>
              </w:rPr>
            </w:pPr>
            <w:r>
              <w:rPr>
                <w:rFonts w:hint="eastAsia"/>
                <w:kern w:val="0"/>
                <w:sz w:val="20"/>
                <w:szCs w:val="20"/>
                <w:lang w:val="en-US"/>
              </w:rPr>
              <w:t>以滁州市公共资源交易中心-中介超市截图为准（截图须体现评审因素），截图时间须在本项目响应资料递交截止时间前3日内</w:t>
            </w:r>
            <w:r>
              <w:rPr>
                <w:rFonts w:hint="eastAsia"/>
                <w:kern w:val="0"/>
                <w:sz w:val="20"/>
                <w:szCs w:val="20"/>
              </w:rPr>
              <w:t xml:space="preserve">。                                                                                                                                                                                                                                   </w:t>
            </w:r>
          </w:p>
        </w:tc>
        <w:tc>
          <w:tcPr>
            <w:tcW w:w="677" w:type="dxa"/>
            <w:vAlign w:val="center"/>
          </w:tcPr>
          <w:p w:rsidR="006B7A97" w:rsidRDefault="0097557C">
            <w:pPr>
              <w:pStyle w:val="TableParagraph"/>
              <w:spacing w:line="360" w:lineRule="exact"/>
              <w:ind w:right="15"/>
              <w:jc w:val="center"/>
              <w:rPr>
                <w:kern w:val="0"/>
                <w:sz w:val="20"/>
                <w:szCs w:val="24"/>
                <w:lang w:val="en-US"/>
              </w:rPr>
            </w:pPr>
            <w:r>
              <w:rPr>
                <w:kern w:val="0"/>
                <w:sz w:val="20"/>
                <w:szCs w:val="24"/>
                <w:lang w:val="en-US"/>
              </w:rPr>
              <w:t>0-10</w:t>
            </w:r>
          </w:p>
        </w:tc>
      </w:tr>
      <w:tr w:rsidR="006B7A97">
        <w:trPr>
          <w:trHeight w:val="1223"/>
        </w:trPr>
        <w:tc>
          <w:tcPr>
            <w:tcW w:w="1403" w:type="dxa"/>
            <w:vMerge/>
            <w:vAlign w:val="center"/>
          </w:tcPr>
          <w:p w:rsidR="006B7A97" w:rsidRDefault="006B7A97">
            <w:pPr>
              <w:widowControl/>
              <w:spacing w:line="360" w:lineRule="exact"/>
              <w:jc w:val="center"/>
              <w:rPr>
                <w:rFonts w:ascii="宋体" w:eastAsia="宋体" w:hAnsi="宋体" w:cs="宋体"/>
                <w:color w:val="000000"/>
                <w:kern w:val="0"/>
                <w:sz w:val="20"/>
                <w:szCs w:val="24"/>
                <w:lang w:bidi="ar"/>
              </w:rPr>
            </w:pPr>
          </w:p>
        </w:tc>
        <w:tc>
          <w:tcPr>
            <w:tcW w:w="1131" w:type="dxa"/>
            <w:vAlign w:val="center"/>
          </w:tcPr>
          <w:p w:rsidR="006B7A97" w:rsidRDefault="0097557C">
            <w:pPr>
              <w:pStyle w:val="TableParagraph"/>
              <w:spacing w:line="360" w:lineRule="exact"/>
              <w:ind w:right="137"/>
              <w:jc w:val="center"/>
              <w:rPr>
                <w:kern w:val="0"/>
                <w:sz w:val="20"/>
                <w:szCs w:val="20"/>
                <w:lang w:val="en-US"/>
              </w:rPr>
            </w:pPr>
            <w:r>
              <w:rPr>
                <w:rFonts w:hint="eastAsia"/>
                <w:kern w:val="0"/>
                <w:sz w:val="20"/>
                <w:szCs w:val="20"/>
                <w:lang w:val="en-US"/>
              </w:rPr>
              <w:t>相关业务能力</w:t>
            </w:r>
          </w:p>
        </w:tc>
        <w:tc>
          <w:tcPr>
            <w:tcW w:w="5903" w:type="dxa"/>
            <w:vAlign w:val="center"/>
          </w:tcPr>
          <w:p w:rsidR="006B7A97" w:rsidRDefault="0097557C">
            <w:pPr>
              <w:pStyle w:val="TableParagraph"/>
              <w:spacing w:line="360" w:lineRule="exact"/>
              <w:jc w:val="left"/>
              <w:rPr>
                <w:kern w:val="0"/>
                <w:sz w:val="20"/>
                <w:szCs w:val="20"/>
                <w:lang w:val="en-US"/>
              </w:rPr>
            </w:pPr>
            <w:r>
              <w:rPr>
                <w:rFonts w:hint="eastAsia"/>
                <w:kern w:val="0"/>
                <w:sz w:val="20"/>
                <w:szCs w:val="20"/>
                <w:lang w:val="en-US"/>
              </w:rPr>
              <w:t>自2020年1月1日至响应文件递交截止之日，每提供一份医院或医疗体系的招标代理业绩的得3分，本项总分30分，代理项目内容须涵盖货物、服务、工程、产权四个类型；</w:t>
            </w:r>
          </w:p>
          <w:p w:rsidR="006B7A97" w:rsidRDefault="0097557C">
            <w:pPr>
              <w:pStyle w:val="TableParagraph"/>
              <w:spacing w:line="360" w:lineRule="exact"/>
              <w:jc w:val="left"/>
              <w:rPr>
                <w:kern w:val="0"/>
                <w:sz w:val="20"/>
                <w:szCs w:val="20"/>
                <w:lang w:val="en-US"/>
              </w:rPr>
            </w:pPr>
            <w:r>
              <w:rPr>
                <w:rFonts w:hint="eastAsia"/>
                <w:kern w:val="0"/>
                <w:sz w:val="20"/>
                <w:szCs w:val="20"/>
                <w:lang w:val="en-US"/>
              </w:rPr>
              <w:t>须提供委托协议（或代理合同）、中标通知书（须体现委托单位、交易中心（监管部门）、代理机构三方盖章）复印件加盖公章。</w:t>
            </w:r>
          </w:p>
        </w:tc>
        <w:tc>
          <w:tcPr>
            <w:tcW w:w="677" w:type="dxa"/>
            <w:vAlign w:val="center"/>
          </w:tcPr>
          <w:p w:rsidR="006B7A97" w:rsidRDefault="0097557C">
            <w:pPr>
              <w:pStyle w:val="TableParagraph"/>
              <w:spacing w:line="360" w:lineRule="exact"/>
              <w:jc w:val="center"/>
              <w:rPr>
                <w:kern w:val="0"/>
                <w:sz w:val="20"/>
                <w:szCs w:val="24"/>
                <w:lang w:val="en-US"/>
              </w:rPr>
            </w:pPr>
            <w:r>
              <w:rPr>
                <w:rFonts w:hint="eastAsia"/>
                <w:kern w:val="0"/>
                <w:sz w:val="20"/>
                <w:szCs w:val="24"/>
                <w:lang w:val="en-US"/>
              </w:rPr>
              <w:t>0-30</w:t>
            </w:r>
          </w:p>
        </w:tc>
      </w:tr>
      <w:tr w:rsidR="006B7A97">
        <w:trPr>
          <w:trHeight w:val="1229"/>
        </w:trPr>
        <w:tc>
          <w:tcPr>
            <w:tcW w:w="1403" w:type="dxa"/>
            <w:vMerge/>
            <w:vAlign w:val="center"/>
          </w:tcPr>
          <w:p w:rsidR="006B7A97" w:rsidRDefault="006B7A97">
            <w:pPr>
              <w:widowControl/>
              <w:spacing w:line="360" w:lineRule="exact"/>
              <w:jc w:val="center"/>
              <w:rPr>
                <w:rFonts w:ascii="宋体" w:eastAsia="宋体" w:hAnsi="宋体" w:cs="宋体"/>
                <w:color w:val="000000"/>
                <w:kern w:val="0"/>
                <w:sz w:val="20"/>
                <w:szCs w:val="24"/>
                <w:lang w:bidi="ar"/>
              </w:rPr>
            </w:pPr>
          </w:p>
        </w:tc>
        <w:tc>
          <w:tcPr>
            <w:tcW w:w="1131" w:type="dxa"/>
            <w:vAlign w:val="center"/>
          </w:tcPr>
          <w:p w:rsidR="006B7A97" w:rsidRDefault="0097557C">
            <w:pPr>
              <w:pStyle w:val="TableParagraph"/>
              <w:spacing w:line="360" w:lineRule="exact"/>
              <w:ind w:right="137"/>
              <w:jc w:val="center"/>
              <w:rPr>
                <w:kern w:val="0"/>
                <w:sz w:val="20"/>
                <w:szCs w:val="20"/>
                <w:lang w:val="en-US"/>
              </w:rPr>
            </w:pPr>
            <w:r>
              <w:rPr>
                <w:rFonts w:hint="eastAsia"/>
                <w:kern w:val="0"/>
                <w:sz w:val="20"/>
                <w:szCs w:val="20"/>
                <w:lang w:val="en-US"/>
              </w:rPr>
              <w:t>拟任项目负责人</w:t>
            </w:r>
          </w:p>
        </w:tc>
        <w:tc>
          <w:tcPr>
            <w:tcW w:w="5903" w:type="dxa"/>
            <w:vAlign w:val="center"/>
          </w:tcPr>
          <w:p w:rsidR="006B7A97" w:rsidRDefault="0097557C">
            <w:pPr>
              <w:pStyle w:val="TableParagraph"/>
              <w:spacing w:line="360" w:lineRule="exact"/>
              <w:jc w:val="left"/>
              <w:rPr>
                <w:kern w:val="0"/>
                <w:sz w:val="20"/>
                <w:szCs w:val="20"/>
                <w:lang w:val="en-US"/>
              </w:rPr>
            </w:pPr>
            <w:r>
              <w:rPr>
                <w:rFonts w:hint="eastAsia"/>
                <w:kern w:val="0"/>
                <w:sz w:val="20"/>
                <w:szCs w:val="20"/>
                <w:lang w:val="en-US"/>
              </w:rPr>
              <w:t>1、至响应文件递交截止之日，拟派项目负责人具有5年（含）以上从业经验的得10分，具有3年以上从业经验的得5分。</w:t>
            </w:r>
          </w:p>
          <w:p w:rsidR="006B7A97" w:rsidRDefault="0097557C">
            <w:pPr>
              <w:pStyle w:val="TableParagraph"/>
              <w:spacing w:line="360" w:lineRule="exact"/>
              <w:jc w:val="left"/>
              <w:rPr>
                <w:kern w:val="0"/>
                <w:sz w:val="20"/>
                <w:szCs w:val="20"/>
                <w:lang w:val="en-US"/>
              </w:rPr>
            </w:pPr>
            <w:r>
              <w:rPr>
                <w:rFonts w:hint="eastAsia"/>
                <w:kern w:val="0"/>
                <w:sz w:val="20"/>
                <w:szCs w:val="20"/>
                <w:lang w:val="en-US"/>
              </w:rPr>
              <w:t>注：以公共资源交易监督管理局备案项目的时间为准，需提供起始业绩证明，在响应文件递交截止时间前至少提供3份业绩证明材料，以证明工作的连续性；提供交易中心官网交易公告截图及链接或委托代理协议等，证明材料须体现评审因素，否则不得分。</w:t>
            </w:r>
          </w:p>
          <w:p w:rsidR="006B7A97" w:rsidRDefault="0097557C">
            <w:pPr>
              <w:pStyle w:val="TableParagraph"/>
              <w:numPr>
                <w:ilvl w:val="0"/>
                <w:numId w:val="1"/>
              </w:numPr>
              <w:spacing w:line="360" w:lineRule="exact"/>
              <w:jc w:val="left"/>
              <w:rPr>
                <w:kern w:val="0"/>
                <w:sz w:val="20"/>
                <w:szCs w:val="20"/>
                <w:lang w:val="en-US"/>
              </w:rPr>
            </w:pPr>
            <w:r>
              <w:rPr>
                <w:rFonts w:hint="eastAsia"/>
                <w:kern w:val="0"/>
                <w:sz w:val="20"/>
                <w:szCs w:val="20"/>
                <w:lang w:val="en-US"/>
              </w:rPr>
              <w:t>项目负责人须为滁州市公共资源交易中心备案审核通过的人员，同时具有中级及以上职称的得5分（须提供备案证明截图及职称证书复印件加盖公章）</w:t>
            </w:r>
          </w:p>
        </w:tc>
        <w:tc>
          <w:tcPr>
            <w:tcW w:w="677" w:type="dxa"/>
            <w:vAlign w:val="center"/>
          </w:tcPr>
          <w:p w:rsidR="006B7A97" w:rsidRDefault="0097557C">
            <w:pPr>
              <w:pStyle w:val="TableParagraph"/>
              <w:spacing w:line="360" w:lineRule="exact"/>
              <w:rPr>
                <w:kern w:val="0"/>
                <w:sz w:val="20"/>
                <w:szCs w:val="24"/>
                <w:lang w:val="en-US"/>
              </w:rPr>
            </w:pPr>
            <w:r>
              <w:rPr>
                <w:rFonts w:hint="eastAsia"/>
                <w:kern w:val="0"/>
                <w:sz w:val="20"/>
                <w:szCs w:val="24"/>
                <w:lang w:val="en-US"/>
              </w:rPr>
              <w:t>0-15</w:t>
            </w:r>
          </w:p>
        </w:tc>
      </w:tr>
      <w:tr w:rsidR="006B7A97">
        <w:trPr>
          <w:trHeight w:val="977"/>
        </w:trPr>
        <w:tc>
          <w:tcPr>
            <w:tcW w:w="1403" w:type="dxa"/>
            <w:vMerge/>
            <w:vAlign w:val="center"/>
          </w:tcPr>
          <w:p w:rsidR="006B7A97" w:rsidRDefault="006B7A97">
            <w:pPr>
              <w:widowControl/>
              <w:spacing w:line="360" w:lineRule="exact"/>
              <w:jc w:val="center"/>
              <w:rPr>
                <w:rFonts w:ascii="宋体" w:eastAsia="宋体" w:hAnsi="宋体" w:cs="宋体"/>
                <w:color w:val="000000"/>
                <w:kern w:val="0"/>
                <w:sz w:val="20"/>
                <w:szCs w:val="24"/>
                <w:lang w:bidi="ar"/>
              </w:rPr>
            </w:pPr>
          </w:p>
        </w:tc>
        <w:tc>
          <w:tcPr>
            <w:tcW w:w="1131" w:type="dxa"/>
            <w:vAlign w:val="center"/>
          </w:tcPr>
          <w:p w:rsidR="006B7A97" w:rsidRDefault="0097557C">
            <w:pPr>
              <w:pStyle w:val="TableParagraph"/>
              <w:spacing w:line="360" w:lineRule="exact"/>
              <w:ind w:right="137"/>
              <w:jc w:val="center"/>
              <w:rPr>
                <w:kern w:val="0"/>
                <w:sz w:val="20"/>
                <w:szCs w:val="20"/>
                <w:lang w:val="en-US"/>
              </w:rPr>
            </w:pPr>
            <w:r>
              <w:rPr>
                <w:rFonts w:hint="eastAsia"/>
                <w:kern w:val="0"/>
                <w:sz w:val="20"/>
                <w:szCs w:val="20"/>
                <w:lang w:val="en-US"/>
              </w:rPr>
              <w:t>项目组成员</w:t>
            </w:r>
          </w:p>
        </w:tc>
        <w:tc>
          <w:tcPr>
            <w:tcW w:w="5903" w:type="dxa"/>
            <w:vAlign w:val="center"/>
          </w:tcPr>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不含项目负责人，拟派项目组成员具有中级及以上职称的5分，满分10分；项目组成员须为滁州市公共资源交易中心备案审核通过的人员，须提供备案证明截图及职称证书复印件加盖公章。</w:t>
            </w:r>
          </w:p>
        </w:tc>
        <w:tc>
          <w:tcPr>
            <w:tcW w:w="677" w:type="dxa"/>
            <w:vAlign w:val="center"/>
          </w:tcPr>
          <w:p w:rsidR="006B7A97" w:rsidRDefault="0097557C">
            <w:pPr>
              <w:pStyle w:val="TableParagraph"/>
              <w:spacing w:line="360" w:lineRule="exact"/>
              <w:jc w:val="center"/>
              <w:rPr>
                <w:kern w:val="0"/>
                <w:sz w:val="20"/>
                <w:szCs w:val="24"/>
                <w:lang w:val="en-US"/>
              </w:rPr>
            </w:pPr>
            <w:r>
              <w:rPr>
                <w:rFonts w:hint="eastAsia"/>
                <w:kern w:val="0"/>
                <w:sz w:val="20"/>
                <w:szCs w:val="24"/>
                <w:lang w:val="en-US"/>
              </w:rPr>
              <w:t>0-10</w:t>
            </w:r>
          </w:p>
        </w:tc>
      </w:tr>
      <w:tr w:rsidR="006B7A97">
        <w:trPr>
          <w:trHeight w:val="977"/>
        </w:trPr>
        <w:tc>
          <w:tcPr>
            <w:tcW w:w="1403" w:type="dxa"/>
            <w:vMerge/>
            <w:vAlign w:val="center"/>
          </w:tcPr>
          <w:p w:rsidR="006B7A97" w:rsidRDefault="006B7A97">
            <w:pPr>
              <w:widowControl/>
              <w:spacing w:line="360" w:lineRule="exact"/>
              <w:jc w:val="center"/>
              <w:rPr>
                <w:rFonts w:ascii="宋体" w:eastAsia="宋体" w:hAnsi="宋体" w:cs="宋体"/>
                <w:color w:val="000000"/>
                <w:kern w:val="0"/>
                <w:sz w:val="20"/>
                <w:szCs w:val="24"/>
                <w:lang w:bidi="ar"/>
              </w:rPr>
            </w:pPr>
          </w:p>
        </w:tc>
        <w:tc>
          <w:tcPr>
            <w:tcW w:w="1131" w:type="dxa"/>
            <w:vAlign w:val="center"/>
          </w:tcPr>
          <w:p w:rsidR="006B7A97" w:rsidRDefault="0097557C">
            <w:pPr>
              <w:pStyle w:val="TableParagraph"/>
              <w:spacing w:line="360" w:lineRule="exact"/>
              <w:ind w:right="137"/>
              <w:jc w:val="center"/>
              <w:rPr>
                <w:kern w:val="0"/>
                <w:sz w:val="20"/>
                <w:szCs w:val="20"/>
                <w:lang w:val="en-US"/>
              </w:rPr>
            </w:pPr>
            <w:r>
              <w:rPr>
                <w:rFonts w:hint="eastAsia"/>
                <w:kern w:val="0"/>
                <w:sz w:val="20"/>
                <w:szCs w:val="20"/>
                <w:lang w:val="en-US"/>
              </w:rPr>
              <w:t>开评场地</w:t>
            </w:r>
          </w:p>
        </w:tc>
        <w:tc>
          <w:tcPr>
            <w:tcW w:w="5903" w:type="dxa"/>
            <w:vAlign w:val="center"/>
          </w:tcPr>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具备独立的开、评标场地，能够实现全程录像监控，开标室至少可以容纳10人及以上，满足线下招标代理项目开评标相关条件的得10分，本项总分10分。</w:t>
            </w:r>
          </w:p>
          <w:p w:rsidR="00B1265A" w:rsidRDefault="0097557C">
            <w:pPr>
              <w:pStyle w:val="TableParagraph"/>
              <w:spacing w:line="360" w:lineRule="exact"/>
              <w:ind w:right="-44"/>
              <w:jc w:val="left"/>
              <w:rPr>
                <w:kern w:val="0"/>
                <w:sz w:val="20"/>
                <w:szCs w:val="20"/>
                <w:lang w:val="en-US"/>
              </w:rPr>
            </w:pPr>
            <w:r>
              <w:rPr>
                <w:rFonts w:hint="eastAsia"/>
                <w:kern w:val="0"/>
                <w:sz w:val="20"/>
                <w:szCs w:val="20"/>
                <w:lang w:val="en-US"/>
              </w:rPr>
              <w:t>须提供场地及相关设备彩色照片及开评标室的地址并加盖单位公章。</w:t>
            </w:r>
          </w:p>
        </w:tc>
        <w:tc>
          <w:tcPr>
            <w:tcW w:w="677" w:type="dxa"/>
            <w:vAlign w:val="center"/>
          </w:tcPr>
          <w:p w:rsidR="006B7A97" w:rsidRDefault="0097557C">
            <w:pPr>
              <w:pStyle w:val="TableParagraph"/>
              <w:spacing w:line="360" w:lineRule="exact"/>
              <w:jc w:val="center"/>
              <w:rPr>
                <w:kern w:val="0"/>
                <w:sz w:val="20"/>
                <w:szCs w:val="24"/>
                <w:lang w:val="en-US"/>
              </w:rPr>
            </w:pPr>
            <w:r>
              <w:rPr>
                <w:kern w:val="0"/>
                <w:sz w:val="20"/>
                <w:szCs w:val="24"/>
                <w:lang w:val="en-US"/>
              </w:rPr>
              <w:t>0</w:t>
            </w:r>
            <w:r>
              <w:rPr>
                <w:rFonts w:hint="eastAsia"/>
                <w:kern w:val="0"/>
                <w:sz w:val="20"/>
                <w:szCs w:val="24"/>
                <w:lang w:val="en-US"/>
              </w:rPr>
              <w:t>-10</w:t>
            </w:r>
          </w:p>
        </w:tc>
      </w:tr>
      <w:tr w:rsidR="006B7A97">
        <w:trPr>
          <w:trHeight w:val="977"/>
        </w:trPr>
        <w:tc>
          <w:tcPr>
            <w:tcW w:w="1403" w:type="dxa"/>
            <w:vMerge w:val="restart"/>
            <w:vAlign w:val="center"/>
          </w:tcPr>
          <w:p w:rsidR="006B7A97" w:rsidRDefault="0097557C">
            <w:pPr>
              <w:widowControl/>
              <w:spacing w:line="360" w:lineRule="exact"/>
              <w:jc w:val="center"/>
              <w:rPr>
                <w:rFonts w:ascii="宋体" w:eastAsia="宋体" w:hAnsi="宋体" w:cs="宋体"/>
                <w:color w:val="000000"/>
                <w:kern w:val="0"/>
                <w:sz w:val="20"/>
                <w:szCs w:val="24"/>
                <w:lang w:bidi="ar"/>
              </w:rPr>
            </w:pPr>
            <w:r>
              <w:rPr>
                <w:rFonts w:ascii="宋体" w:eastAsia="宋体" w:hAnsi="宋体" w:cs="宋体" w:hint="eastAsia"/>
                <w:color w:val="000000"/>
                <w:kern w:val="0"/>
                <w:sz w:val="20"/>
                <w:szCs w:val="24"/>
                <w:lang w:bidi="ar"/>
              </w:rPr>
              <w:t>技术部分</w:t>
            </w:r>
          </w:p>
        </w:tc>
        <w:tc>
          <w:tcPr>
            <w:tcW w:w="1131" w:type="dxa"/>
            <w:vAlign w:val="center"/>
          </w:tcPr>
          <w:p w:rsidR="006B7A97" w:rsidRDefault="0097557C">
            <w:pPr>
              <w:pStyle w:val="TableParagraph"/>
              <w:spacing w:line="360" w:lineRule="exact"/>
              <w:ind w:right="137"/>
              <w:jc w:val="center"/>
              <w:rPr>
                <w:kern w:val="0"/>
                <w:sz w:val="20"/>
                <w:szCs w:val="20"/>
                <w:lang w:val="en-US"/>
              </w:rPr>
            </w:pPr>
            <w:r>
              <w:rPr>
                <w:rFonts w:hint="eastAsia"/>
                <w:kern w:val="0"/>
                <w:sz w:val="20"/>
                <w:szCs w:val="20"/>
                <w:lang w:val="en-US"/>
              </w:rPr>
              <w:t>服务方案</w:t>
            </w:r>
          </w:p>
        </w:tc>
        <w:tc>
          <w:tcPr>
            <w:tcW w:w="5903" w:type="dxa"/>
            <w:vAlign w:val="center"/>
          </w:tcPr>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评委根据服务方案的完整性、针对性和专业性进行综合评价：包含但不限于人员分工、工作分配、服务难点重点阐述、服务质量保证措施等。</w:t>
            </w:r>
          </w:p>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方案的思路清晰、内容全面，实施办法科学合理的10分；</w:t>
            </w:r>
          </w:p>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方案的表述完整、内容较全面，实施办法基本合理的8分；</w:t>
            </w:r>
          </w:p>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方案的模糊、内容缺失，可实施性较差的6分；</w:t>
            </w:r>
          </w:p>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lastRenderedPageBreak/>
              <w:t>内容表述与项目无关或未提供的不得分。</w:t>
            </w:r>
          </w:p>
        </w:tc>
        <w:tc>
          <w:tcPr>
            <w:tcW w:w="677" w:type="dxa"/>
            <w:vAlign w:val="center"/>
          </w:tcPr>
          <w:p w:rsidR="006B7A97" w:rsidRDefault="00FA3AE0">
            <w:pPr>
              <w:pStyle w:val="TableParagraph"/>
              <w:spacing w:line="360" w:lineRule="exact"/>
              <w:jc w:val="center"/>
              <w:rPr>
                <w:kern w:val="0"/>
                <w:sz w:val="20"/>
                <w:szCs w:val="24"/>
                <w:lang w:val="en-US"/>
              </w:rPr>
            </w:pPr>
            <w:r>
              <w:rPr>
                <w:kern w:val="0"/>
                <w:sz w:val="20"/>
                <w:szCs w:val="24"/>
                <w:lang w:val="en-US"/>
              </w:rPr>
              <w:lastRenderedPageBreak/>
              <w:t>0-</w:t>
            </w:r>
            <w:r w:rsidR="0097557C">
              <w:rPr>
                <w:rFonts w:hint="eastAsia"/>
                <w:kern w:val="0"/>
                <w:sz w:val="20"/>
                <w:szCs w:val="24"/>
                <w:lang w:val="en-US"/>
              </w:rPr>
              <w:t>10</w:t>
            </w:r>
          </w:p>
        </w:tc>
      </w:tr>
      <w:tr w:rsidR="006B7A97">
        <w:trPr>
          <w:trHeight w:val="977"/>
        </w:trPr>
        <w:tc>
          <w:tcPr>
            <w:tcW w:w="1403" w:type="dxa"/>
            <w:vMerge/>
            <w:vAlign w:val="center"/>
          </w:tcPr>
          <w:p w:rsidR="006B7A97" w:rsidRDefault="006B7A97">
            <w:pPr>
              <w:widowControl/>
              <w:spacing w:line="360" w:lineRule="exact"/>
              <w:jc w:val="center"/>
              <w:rPr>
                <w:rFonts w:ascii="宋体" w:eastAsia="宋体" w:hAnsi="宋体" w:cs="宋体"/>
                <w:color w:val="000000"/>
                <w:kern w:val="0"/>
                <w:sz w:val="20"/>
                <w:szCs w:val="24"/>
                <w:lang w:bidi="ar"/>
              </w:rPr>
            </w:pPr>
          </w:p>
        </w:tc>
        <w:tc>
          <w:tcPr>
            <w:tcW w:w="1131" w:type="dxa"/>
            <w:vAlign w:val="center"/>
          </w:tcPr>
          <w:p w:rsidR="006B7A97" w:rsidRDefault="0097557C">
            <w:pPr>
              <w:pStyle w:val="TableParagraph"/>
              <w:spacing w:line="360" w:lineRule="exact"/>
              <w:ind w:right="137"/>
              <w:jc w:val="center"/>
              <w:rPr>
                <w:kern w:val="0"/>
                <w:sz w:val="20"/>
                <w:szCs w:val="20"/>
                <w:lang w:val="en-US"/>
              </w:rPr>
            </w:pPr>
            <w:r>
              <w:rPr>
                <w:rFonts w:hint="eastAsia"/>
                <w:kern w:val="0"/>
                <w:sz w:val="20"/>
                <w:szCs w:val="20"/>
                <w:lang w:val="en-US"/>
              </w:rPr>
              <w:t>各项监督管理制度</w:t>
            </w:r>
          </w:p>
        </w:tc>
        <w:tc>
          <w:tcPr>
            <w:tcW w:w="5903" w:type="dxa"/>
            <w:vAlign w:val="center"/>
          </w:tcPr>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各项管理及监督制度全面，包含但不限于执业人员管理制度、档案管理制度、监督程序、具体权责及廉政措施。</w:t>
            </w:r>
          </w:p>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内容全面、表述详细的得5分；</w:t>
            </w:r>
          </w:p>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内容较为全面、表述合理的得3分；</w:t>
            </w:r>
          </w:p>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内容缺失、表述不清或逻辑错误的得1分；</w:t>
            </w:r>
          </w:p>
          <w:p w:rsidR="006B7A97" w:rsidRDefault="0097557C">
            <w:pPr>
              <w:pStyle w:val="TableParagraph"/>
              <w:spacing w:line="360" w:lineRule="exact"/>
              <w:ind w:right="-44"/>
              <w:jc w:val="left"/>
              <w:rPr>
                <w:kern w:val="0"/>
                <w:sz w:val="20"/>
                <w:szCs w:val="20"/>
                <w:lang w:val="en-US"/>
              </w:rPr>
            </w:pPr>
            <w:r>
              <w:rPr>
                <w:rFonts w:hint="eastAsia"/>
                <w:kern w:val="0"/>
                <w:sz w:val="20"/>
                <w:szCs w:val="20"/>
                <w:lang w:val="en-US"/>
              </w:rPr>
              <w:t>内容表述与项目无关或未提供的不得分。</w:t>
            </w:r>
          </w:p>
        </w:tc>
        <w:tc>
          <w:tcPr>
            <w:tcW w:w="677" w:type="dxa"/>
            <w:vAlign w:val="center"/>
          </w:tcPr>
          <w:p w:rsidR="006B7A97" w:rsidRDefault="00FA3AE0">
            <w:pPr>
              <w:pStyle w:val="TableParagraph"/>
              <w:spacing w:line="360" w:lineRule="exact"/>
              <w:jc w:val="center"/>
              <w:rPr>
                <w:kern w:val="0"/>
                <w:sz w:val="20"/>
                <w:szCs w:val="24"/>
                <w:lang w:val="en-US"/>
              </w:rPr>
            </w:pPr>
            <w:r>
              <w:rPr>
                <w:kern w:val="0"/>
                <w:sz w:val="20"/>
                <w:szCs w:val="24"/>
                <w:lang w:val="en-US"/>
              </w:rPr>
              <w:t>0-</w:t>
            </w:r>
            <w:r w:rsidR="0097557C">
              <w:rPr>
                <w:rFonts w:hint="eastAsia"/>
                <w:kern w:val="0"/>
                <w:sz w:val="20"/>
                <w:szCs w:val="24"/>
                <w:lang w:val="en-US"/>
              </w:rPr>
              <w:t>5</w:t>
            </w:r>
          </w:p>
        </w:tc>
      </w:tr>
      <w:tr w:rsidR="006B7A97">
        <w:trPr>
          <w:trHeight w:val="620"/>
        </w:trPr>
        <w:tc>
          <w:tcPr>
            <w:tcW w:w="1403" w:type="dxa"/>
            <w:vAlign w:val="center"/>
          </w:tcPr>
          <w:p w:rsidR="006B7A97" w:rsidRDefault="0097557C">
            <w:pPr>
              <w:widowControl/>
              <w:spacing w:line="360" w:lineRule="exact"/>
              <w:jc w:val="center"/>
              <w:rPr>
                <w:rFonts w:ascii="宋体" w:eastAsia="宋体" w:hAnsi="宋体" w:cs="宋体"/>
                <w:kern w:val="0"/>
                <w:sz w:val="20"/>
                <w:szCs w:val="20"/>
              </w:rPr>
            </w:pPr>
            <w:r>
              <w:rPr>
                <w:rFonts w:ascii="宋体" w:eastAsia="宋体" w:hAnsi="宋体" w:cs="宋体" w:hint="eastAsia"/>
                <w:color w:val="000000"/>
                <w:kern w:val="0"/>
                <w:sz w:val="20"/>
                <w:szCs w:val="24"/>
                <w:lang w:bidi="ar"/>
              </w:rPr>
              <w:t>商务分（</w:t>
            </w:r>
            <w:r w:rsidR="00FA3AE0">
              <w:rPr>
                <w:rFonts w:ascii="宋体" w:eastAsia="宋体" w:hAnsi="宋体" w:cs="宋体" w:hint="eastAsia"/>
                <w:color w:val="000000"/>
                <w:kern w:val="0"/>
                <w:sz w:val="20"/>
                <w:szCs w:val="24"/>
                <w:lang w:bidi="ar"/>
              </w:rPr>
              <w:t>10</w:t>
            </w:r>
            <w:r>
              <w:rPr>
                <w:rFonts w:ascii="宋体" w:eastAsia="宋体" w:hAnsi="宋体" w:cs="宋体" w:hint="eastAsia"/>
                <w:color w:val="000000"/>
                <w:kern w:val="0"/>
                <w:sz w:val="20"/>
                <w:szCs w:val="24"/>
                <w:lang w:bidi="ar"/>
              </w:rPr>
              <w:t>分）</w:t>
            </w:r>
          </w:p>
        </w:tc>
        <w:tc>
          <w:tcPr>
            <w:tcW w:w="1131" w:type="dxa"/>
            <w:vAlign w:val="center"/>
          </w:tcPr>
          <w:p w:rsidR="006B7A97" w:rsidRDefault="0097557C">
            <w:pPr>
              <w:pStyle w:val="TableParagraph"/>
              <w:spacing w:line="360" w:lineRule="exact"/>
              <w:ind w:right="137"/>
              <w:jc w:val="center"/>
              <w:rPr>
                <w:kern w:val="0"/>
                <w:sz w:val="20"/>
                <w:szCs w:val="24"/>
                <w:lang w:val="en-US"/>
              </w:rPr>
            </w:pPr>
            <w:r>
              <w:rPr>
                <w:rFonts w:hint="eastAsia"/>
                <w:kern w:val="0"/>
                <w:sz w:val="20"/>
                <w:szCs w:val="24"/>
                <w:lang w:val="en-US"/>
              </w:rPr>
              <w:t>报价函</w:t>
            </w:r>
          </w:p>
        </w:tc>
        <w:tc>
          <w:tcPr>
            <w:tcW w:w="5903" w:type="dxa"/>
            <w:vAlign w:val="center"/>
          </w:tcPr>
          <w:p w:rsidR="006B7A97" w:rsidRDefault="0097557C">
            <w:pPr>
              <w:pStyle w:val="TableParagraph"/>
              <w:spacing w:line="360" w:lineRule="exact"/>
              <w:ind w:right="-44"/>
              <w:jc w:val="left"/>
              <w:rPr>
                <w:kern w:val="0"/>
                <w:sz w:val="20"/>
                <w:szCs w:val="24"/>
                <w:lang w:val="en-US"/>
              </w:rPr>
            </w:pPr>
            <w:r>
              <w:rPr>
                <w:rFonts w:hint="eastAsia"/>
                <w:kern w:val="0"/>
                <w:sz w:val="20"/>
                <w:szCs w:val="24"/>
                <w:lang w:val="en-US"/>
              </w:rPr>
              <w:t>投标报价为招标人规定的固定收费标准的得</w:t>
            </w:r>
            <w:r w:rsidR="00FA3AE0">
              <w:rPr>
                <w:rFonts w:hint="eastAsia"/>
                <w:kern w:val="0"/>
                <w:sz w:val="20"/>
                <w:szCs w:val="24"/>
                <w:lang w:val="en-US"/>
              </w:rPr>
              <w:t>10</w:t>
            </w:r>
            <w:r>
              <w:rPr>
                <w:rFonts w:hint="eastAsia"/>
                <w:kern w:val="0"/>
                <w:sz w:val="20"/>
                <w:szCs w:val="24"/>
                <w:lang w:val="en-US"/>
              </w:rPr>
              <w:t>分，其他不得分。</w:t>
            </w:r>
          </w:p>
        </w:tc>
        <w:tc>
          <w:tcPr>
            <w:tcW w:w="677" w:type="dxa"/>
            <w:vAlign w:val="center"/>
          </w:tcPr>
          <w:p w:rsidR="006B7A97" w:rsidRDefault="0097557C">
            <w:pPr>
              <w:pStyle w:val="TableParagraph"/>
              <w:spacing w:line="360" w:lineRule="exact"/>
              <w:jc w:val="center"/>
              <w:rPr>
                <w:kern w:val="0"/>
                <w:sz w:val="20"/>
                <w:szCs w:val="24"/>
                <w:lang w:val="en-US"/>
              </w:rPr>
            </w:pPr>
            <w:r>
              <w:rPr>
                <w:kern w:val="0"/>
                <w:sz w:val="20"/>
                <w:szCs w:val="24"/>
                <w:lang w:val="en-US"/>
              </w:rPr>
              <w:t>0-</w:t>
            </w:r>
            <w:r>
              <w:rPr>
                <w:rFonts w:hint="eastAsia"/>
                <w:kern w:val="0"/>
                <w:sz w:val="20"/>
                <w:szCs w:val="24"/>
                <w:lang w:val="en-US"/>
              </w:rPr>
              <w:t>10</w:t>
            </w:r>
          </w:p>
        </w:tc>
      </w:tr>
    </w:tbl>
    <w:p w:rsidR="005041AE" w:rsidRDefault="005041AE">
      <w:pPr>
        <w:rPr>
          <w:rFonts w:ascii="仿宋_GB2312" w:eastAsia="仿宋_GB2312" w:hAnsi="微软雅黑" w:cs="宋体"/>
          <w:color w:val="FF0000"/>
          <w:kern w:val="0"/>
          <w:sz w:val="24"/>
          <w:szCs w:val="24"/>
        </w:rPr>
      </w:pPr>
    </w:p>
    <w:p w:rsidR="005041AE" w:rsidRDefault="0097557C">
      <w:pPr>
        <w:rPr>
          <w:rFonts w:ascii="仿宋_GB2312" w:eastAsia="仿宋_GB2312" w:hAnsi="微软雅黑" w:cs="宋体" w:hint="eastAsia"/>
          <w:color w:val="FF0000"/>
          <w:kern w:val="0"/>
          <w:sz w:val="24"/>
          <w:szCs w:val="24"/>
        </w:rPr>
      </w:pPr>
      <w:r>
        <w:rPr>
          <w:rFonts w:ascii="仿宋_GB2312" w:eastAsia="仿宋_GB2312" w:hAnsi="微软雅黑" w:cs="宋体" w:hint="eastAsia"/>
          <w:color w:val="FF0000"/>
          <w:kern w:val="0"/>
          <w:sz w:val="24"/>
          <w:szCs w:val="24"/>
        </w:rPr>
        <w:t>注：</w:t>
      </w:r>
      <w:r w:rsidR="005041AE">
        <w:rPr>
          <w:rFonts w:ascii="仿宋_GB2312" w:eastAsia="仿宋_GB2312" w:hAnsi="微软雅黑" w:cs="宋体" w:hint="eastAsia"/>
          <w:color w:val="FF0000"/>
          <w:kern w:val="0"/>
          <w:sz w:val="24"/>
          <w:szCs w:val="24"/>
        </w:rPr>
        <w:t>1、</w:t>
      </w:r>
      <w:r>
        <w:rPr>
          <w:rFonts w:ascii="仿宋_GB2312" w:eastAsia="仿宋_GB2312" w:hAnsi="微软雅黑" w:cs="宋体" w:hint="eastAsia"/>
          <w:color w:val="FF0000"/>
          <w:kern w:val="0"/>
          <w:sz w:val="24"/>
          <w:szCs w:val="24"/>
        </w:rPr>
        <w:t>以上取所有评委的平均得分作为最终得分。</w:t>
      </w:r>
      <w:bookmarkStart w:id="0" w:name="_GoBack"/>
      <w:bookmarkEnd w:id="0"/>
    </w:p>
    <w:p w:rsidR="006B7A97" w:rsidRDefault="005041AE">
      <w:pPr>
        <w:rPr>
          <w:rFonts w:ascii="仿宋_GB2312" w:eastAsia="仿宋_GB2312" w:hAnsi="微软雅黑" w:cs="宋体"/>
          <w:color w:val="FF0000"/>
          <w:kern w:val="0"/>
          <w:sz w:val="24"/>
          <w:szCs w:val="24"/>
        </w:rPr>
      </w:pPr>
      <w:r>
        <w:rPr>
          <w:rFonts w:ascii="仿宋_GB2312" w:eastAsia="仿宋_GB2312" w:hAnsi="微软雅黑" w:cs="宋体"/>
          <w:color w:val="FF0000"/>
          <w:kern w:val="0"/>
          <w:sz w:val="24"/>
          <w:szCs w:val="24"/>
        </w:rPr>
        <w:t>2</w:t>
      </w:r>
      <w:r w:rsidR="0097557C">
        <w:rPr>
          <w:rFonts w:ascii="仿宋_GB2312" w:eastAsia="仿宋_GB2312" w:hAnsi="微软雅黑" w:cs="宋体" w:hint="eastAsia"/>
          <w:color w:val="FF0000"/>
          <w:kern w:val="0"/>
          <w:sz w:val="24"/>
          <w:szCs w:val="24"/>
        </w:rPr>
        <w:t>、以上资料需按顺序装订且要求提供的证明材料主体名称必须与投标主体名称一致，如不一致，视为未提供。</w:t>
      </w:r>
    </w:p>
    <w:p w:rsidR="006B7A97" w:rsidRDefault="005041AE">
      <w:pPr>
        <w:rPr>
          <w:rFonts w:ascii="仿宋_GB2312" w:eastAsia="仿宋_GB2312" w:hAnsi="微软雅黑" w:cs="宋体"/>
          <w:color w:val="FF0000"/>
          <w:kern w:val="0"/>
          <w:sz w:val="24"/>
          <w:szCs w:val="24"/>
        </w:rPr>
      </w:pPr>
      <w:r>
        <w:rPr>
          <w:rFonts w:ascii="仿宋_GB2312" w:eastAsia="仿宋_GB2312" w:hAnsi="微软雅黑" w:cs="宋体"/>
          <w:color w:val="FF0000"/>
          <w:kern w:val="0"/>
          <w:sz w:val="24"/>
          <w:szCs w:val="24"/>
        </w:rPr>
        <w:t>3</w:t>
      </w:r>
      <w:r w:rsidR="0097557C">
        <w:rPr>
          <w:rFonts w:ascii="仿宋_GB2312" w:eastAsia="仿宋_GB2312" w:hAnsi="微软雅黑" w:cs="宋体" w:hint="eastAsia"/>
          <w:color w:val="FF0000"/>
          <w:kern w:val="0"/>
          <w:sz w:val="24"/>
          <w:szCs w:val="24"/>
        </w:rPr>
        <w:t>、所有证明材料中标时，采购人可随时查验相关原件</w:t>
      </w:r>
      <w:r w:rsidR="0097557C">
        <w:rPr>
          <w:rFonts w:ascii="仿宋_GB2312" w:eastAsia="仿宋_GB2312" w:hAnsi="微软雅黑" w:cs="宋体"/>
          <w:color w:val="FF0000"/>
          <w:kern w:val="0"/>
          <w:sz w:val="24"/>
          <w:szCs w:val="24"/>
        </w:rPr>
        <w:t>,</w:t>
      </w:r>
      <w:r w:rsidR="0097557C">
        <w:rPr>
          <w:rFonts w:ascii="仿宋_GB2312" w:eastAsia="仿宋_GB2312" w:hAnsi="微软雅黑" w:cs="宋体" w:hint="eastAsia"/>
          <w:color w:val="FF0000"/>
          <w:kern w:val="0"/>
          <w:sz w:val="24"/>
          <w:szCs w:val="24"/>
        </w:rPr>
        <w:t>无法提供原件则为无效材料，可取消中标资格。</w:t>
      </w:r>
    </w:p>
    <w:p w:rsidR="006B7A97" w:rsidRDefault="006B7A97">
      <w:pPr>
        <w:rPr>
          <w:rFonts w:ascii="仿宋_GB2312" w:eastAsia="仿宋_GB2312" w:hAnsi="微软雅黑" w:cs="宋体"/>
          <w:color w:val="FF0000"/>
          <w:kern w:val="0"/>
          <w:sz w:val="24"/>
          <w:szCs w:val="24"/>
        </w:rPr>
      </w:pPr>
    </w:p>
    <w:sectPr w:rsidR="006B7A97">
      <w:pgSz w:w="11906" w:h="16838"/>
      <w:pgMar w:top="1440" w:right="1797" w:bottom="133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F5" w:rsidRDefault="00381FF5" w:rsidP="00FA3AE0">
      <w:r>
        <w:separator/>
      </w:r>
    </w:p>
  </w:endnote>
  <w:endnote w:type="continuationSeparator" w:id="0">
    <w:p w:rsidR="00381FF5" w:rsidRDefault="00381FF5" w:rsidP="00FA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F5" w:rsidRDefault="00381FF5" w:rsidP="00FA3AE0">
      <w:r>
        <w:separator/>
      </w:r>
    </w:p>
  </w:footnote>
  <w:footnote w:type="continuationSeparator" w:id="0">
    <w:p w:rsidR="00381FF5" w:rsidRDefault="00381FF5" w:rsidP="00FA3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3C2F"/>
    <w:multiLevelType w:val="singleLevel"/>
    <w:tmpl w:val="094F3C2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mI4YmI4ODA2MWE2ZmNkMjg3Zjk0MGJmYmY0ZGYifQ=="/>
  </w:docVars>
  <w:rsids>
    <w:rsidRoot w:val="00C506F9"/>
    <w:rsid w:val="BFCF3686"/>
    <w:rsid w:val="D7ED3FC1"/>
    <w:rsid w:val="D9E558B5"/>
    <w:rsid w:val="DBF35A98"/>
    <w:rsid w:val="000019FD"/>
    <w:rsid w:val="000064A9"/>
    <w:rsid w:val="00006F3F"/>
    <w:rsid w:val="00007F1C"/>
    <w:rsid w:val="000155E4"/>
    <w:rsid w:val="0002408C"/>
    <w:rsid w:val="00033E5E"/>
    <w:rsid w:val="000A392D"/>
    <w:rsid w:val="000E3709"/>
    <w:rsid w:val="000F4BDA"/>
    <w:rsid w:val="00132F17"/>
    <w:rsid w:val="00141BB2"/>
    <w:rsid w:val="001474B7"/>
    <w:rsid w:val="0016120A"/>
    <w:rsid w:val="00194F87"/>
    <w:rsid w:val="001E22D9"/>
    <w:rsid w:val="00200614"/>
    <w:rsid w:val="00243A50"/>
    <w:rsid w:val="002970F4"/>
    <w:rsid w:val="002B0E73"/>
    <w:rsid w:val="002B44DB"/>
    <w:rsid w:val="00336CB8"/>
    <w:rsid w:val="00337F39"/>
    <w:rsid w:val="00366AFA"/>
    <w:rsid w:val="00381FF5"/>
    <w:rsid w:val="003B4C9C"/>
    <w:rsid w:val="003B7C3E"/>
    <w:rsid w:val="003E6721"/>
    <w:rsid w:val="00466980"/>
    <w:rsid w:val="00496088"/>
    <w:rsid w:val="00496BA6"/>
    <w:rsid w:val="004D3286"/>
    <w:rsid w:val="004D52BB"/>
    <w:rsid w:val="005041AE"/>
    <w:rsid w:val="00510630"/>
    <w:rsid w:val="005332A3"/>
    <w:rsid w:val="005B6E67"/>
    <w:rsid w:val="005C12A6"/>
    <w:rsid w:val="00654C62"/>
    <w:rsid w:val="00666219"/>
    <w:rsid w:val="006A1C0D"/>
    <w:rsid w:val="006B0791"/>
    <w:rsid w:val="006B3C80"/>
    <w:rsid w:val="006B7A97"/>
    <w:rsid w:val="006D5598"/>
    <w:rsid w:val="0072420D"/>
    <w:rsid w:val="00727D10"/>
    <w:rsid w:val="007307BE"/>
    <w:rsid w:val="00731929"/>
    <w:rsid w:val="007329A1"/>
    <w:rsid w:val="00745380"/>
    <w:rsid w:val="00746467"/>
    <w:rsid w:val="0077130C"/>
    <w:rsid w:val="007D5ED1"/>
    <w:rsid w:val="008310D9"/>
    <w:rsid w:val="008977D7"/>
    <w:rsid w:val="008C27D5"/>
    <w:rsid w:val="00916A63"/>
    <w:rsid w:val="00946347"/>
    <w:rsid w:val="00954E21"/>
    <w:rsid w:val="00972CC4"/>
    <w:rsid w:val="0097557C"/>
    <w:rsid w:val="009A482A"/>
    <w:rsid w:val="009B21FB"/>
    <w:rsid w:val="00A4310C"/>
    <w:rsid w:val="00A6726D"/>
    <w:rsid w:val="00A708E8"/>
    <w:rsid w:val="00AA6176"/>
    <w:rsid w:val="00AA7F5C"/>
    <w:rsid w:val="00AB1421"/>
    <w:rsid w:val="00AB656A"/>
    <w:rsid w:val="00AE42E2"/>
    <w:rsid w:val="00B00728"/>
    <w:rsid w:val="00B06CFE"/>
    <w:rsid w:val="00B1265A"/>
    <w:rsid w:val="00B321A3"/>
    <w:rsid w:val="00B405EE"/>
    <w:rsid w:val="00B55CEE"/>
    <w:rsid w:val="00B872F0"/>
    <w:rsid w:val="00BA4908"/>
    <w:rsid w:val="00BC33F9"/>
    <w:rsid w:val="00C11EDB"/>
    <w:rsid w:val="00C506F9"/>
    <w:rsid w:val="00C7558A"/>
    <w:rsid w:val="00C9168A"/>
    <w:rsid w:val="00CC72B0"/>
    <w:rsid w:val="00CD3268"/>
    <w:rsid w:val="00CE38F0"/>
    <w:rsid w:val="00CE3FB8"/>
    <w:rsid w:val="00D55679"/>
    <w:rsid w:val="00D6155A"/>
    <w:rsid w:val="00E658F2"/>
    <w:rsid w:val="00E755D9"/>
    <w:rsid w:val="00EE737B"/>
    <w:rsid w:val="00F6697B"/>
    <w:rsid w:val="00F67643"/>
    <w:rsid w:val="00FA3AE0"/>
    <w:rsid w:val="00FA73D1"/>
    <w:rsid w:val="00FD7648"/>
    <w:rsid w:val="00FF3528"/>
    <w:rsid w:val="0F76A97C"/>
    <w:rsid w:val="13FDEB2A"/>
    <w:rsid w:val="1F7755E1"/>
    <w:rsid w:val="2FBD6FF8"/>
    <w:rsid w:val="4B7A173B"/>
    <w:rsid w:val="53E3402E"/>
    <w:rsid w:val="5B8FB354"/>
    <w:rsid w:val="5F3FAF56"/>
    <w:rsid w:val="5FFBDDBB"/>
    <w:rsid w:val="6D242F40"/>
    <w:rsid w:val="73E2B24B"/>
    <w:rsid w:val="77CE4B6D"/>
    <w:rsid w:val="7F6F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3D2A7"/>
  <w15:docId w15:val="{C537E5E2-D33F-4B1F-B60E-A1E32EC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line="360" w:lineRule="auto"/>
      <w:ind w:firstLineChars="200" w:firstLine="200"/>
    </w:pPr>
    <w:rPr>
      <w:rFonts w:ascii="宋体"/>
      <w:szCs w:val="20"/>
    </w:rPr>
  </w:style>
  <w:style w:type="paragraph" w:styleId="a3">
    <w:name w:val="Body Text Indent"/>
    <w:basedOn w:val="a"/>
    <w:next w:val="a4"/>
    <w:link w:val="a5"/>
    <w:unhideWhenUsed/>
    <w:qFormat/>
    <w:pPr>
      <w:spacing w:after="120"/>
      <w:ind w:leftChars="200" w:left="420"/>
    </w:pPr>
    <w:rPr>
      <w:rFonts w:ascii="Times New Roman" w:eastAsia="宋体" w:hAnsi="Times New Roman" w:cs="Times New Roman"/>
    </w:rPr>
  </w:style>
  <w:style w:type="paragraph" w:styleId="a4">
    <w:name w:val="envelope return"/>
    <w:basedOn w:val="a"/>
    <w:qFormat/>
    <w:pPr>
      <w:snapToGrid w:val="0"/>
    </w:pPr>
    <w:rPr>
      <w:rFonts w:ascii="Arial" w:hAnsi="Arial"/>
    </w:rPr>
  </w:style>
  <w:style w:type="paragraph" w:styleId="a6">
    <w:name w:val="annotation text"/>
    <w:basedOn w:val="a"/>
    <w:qFormat/>
    <w:pPr>
      <w:jc w:val="left"/>
    </w:pPr>
  </w:style>
  <w:style w:type="paragraph" w:styleId="a7">
    <w:name w:val="Body Text"/>
    <w:basedOn w:val="a"/>
    <w:link w:val="a8"/>
    <w:uiPriority w:val="99"/>
    <w:semiHidden/>
    <w:unhideWhenUsed/>
    <w:qFormat/>
    <w:pPr>
      <w:spacing w:after="1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Body Text First Indent"/>
    <w:basedOn w:val="a7"/>
    <w:link w:val="af0"/>
    <w:uiPriority w:val="99"/>
    <w:unhideWhenUsed/>
    <w:qFormat/>
    <w:pPr>
      <w:ind w:firstLineChars="100" w:firstLine="420"/>
    </w:p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af2">
    <w:name w:val="首行缩进"/>
    <w:basedOn w:val="a"/>
    <w:uiPriority w:val="99"/>
    <w:qFormat/>
    <w:pPr>
      <w:spacing w:line="360" w:lineRule="auto"/>
      <w:ind w:firstLineChars="200" w:firstLine="480"/>
    </w:pPr>
    <w:rPr>
      <w:rFonts w:ascii="宋体" w:hAnsi="宋体" w:cs="宋体"/>
      <w:kern w:val="0"/>
      <w:sz w:val="24"/>
      <w:szCs w:val="24"/>
    </w:rPr>
  </w:style>
  <w:style w:type="paragraph" w:customStyle="1" w:styleId="TableParagraph">
    <w:name w:val="Table Paragraph"/>
    <w:basedOn w:val="a"/>
    <w:uiPriority w:val="1"/>
    <w:qFormat/>
    <w:rPr>
      <w:rFonts w:ascii="宋体" w:eastAsia="宋体" w:hAnsi="宋体" w:cs="宋体"/>
      <w:lang w:val="zh-CN" w:bidi="zh-CN"/>
    </w:rPr>
  </w:style>
  <w:style w:type="character" w:customStyle="1" w:styleId="a8">
    <w:name w:val="正文文本 字符"/>
    <w:basedOn w:val="a0"/>
    <w:link w:val="a7"/>
    <w:uiPriority w:val="99"/>
    <w:semiHidden/>
    <w:qFormat/>
  </w:style>
  <w:style w:type="character" w:customStyle="1" w:styleId="af0">
    <w:name w:val="正文首行缩进 字符"/>
    <w:basedOn w:val="a8"/>
    <w:link w:val="af"/>
    <w:uiPriority w:val="99"/>
    <w:qFormat/>
  </w:style>
  <w:style w:type="character" w:customStyle="1" w:styleId="a5">
    <w:name w:val="正文文本缩进 字符"/>
    <w:basedOn w:val="a0"/>
    <w:link w:val="a3"/>
    <w:qFormat/>
    <w:rPr>
      <w:rFonts w:ascii="Times New Roman" w:eastAsia="宋体" w:hAnsi="Times New Roman" w:cs="Times New Roman"/>
    </w:rPr>
  </w:style>
  <w:style w:type="character" w:customStyle="1" w:styleId="1">
    <w:name w:val="正文文本缩进 字符1"/>
    <w:qFormat/>
    <w:rPr>
      <w:rFonts w:ascii="Times New Roman" w:eastAsia="宋体" w:hAnsi="Times New Roman" w:cs="Times New Roman"/>
    </w:rPr>
  </w:style>
  <w:style w:type="character" w:customStyle="1" w:styleId="aa">
    <w:name w:val="批注框文本 字符"/>
    <w:basedOn w:val="a0"/>
    <w:link w:val="a9"/>
    <w:uiPriority w:val="99"/>
    <w:semiHidden/>
    <w:qFormat/>
    <w:rPr>
      <w:sz w:val="18"/>
      <w:szCs w:val="18"/>
    </w:rPr>
  </w:style>
  <w:style w:type="paragraph" w:styleId="a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225</Words>
  <Characters>1288</Characters>
  <Application>Microsoft Office Word</Application>
  <DocSecurity>0</DocSecurity>
  <Lines>10</Lines>
  <Paragraphs>3</Paragraphs>
  <ScaleCrop>false</ScaleCrop>
  <Company>Microsoft</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13</cp:revision>
  <cp:lastPrinted>2023-11-15T07:12:00Z</cp:lastPrinted>
  <dcterms:created xsi:type="dcterms:W3CDTF">2023-11-07T08:31:00Z</dcterms:created>
  <dcterms:modified xsi:type="dcterms:W3CDTF">2024-01-12T01:49:00Z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15FEA882179A401B908F5FD82EB5C9AC_13</vt:lpwstr>
  </property>
</Properties>
</file>